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02020"/>
          <w:spacing w:val="40"/>
          <w:sz w:val="18"/>
          <w:szCs w:val="18"/>
        </w:rPr>
        <w:t xml:space="preserve">MICROLINK DATA CENTERS</w:t>
      </w:r>
    </w:p>
    <w:p>
      <w:pPr>
        <w:spacing w:after="80"/>
      </w:pPr>
      <w:r>
        <w:rPr>
          <w:b/>
          <w:bCs/>
          <w:color w:val="222222"/>
          <w:sz w:val="52"/>
          <w:szCs w:val="52"/>
        </w:rPr>
        <w:t xml:space="preserve">NYSERDA Heat Recovery</w:t>
      </w:r>
    </w:p>
    <w:p>
      <w:pPr>
        <w:spacing w:after="240"/>
      </w:pPr>
      <w:r>
        <w:rPr>
          <w:color w:val="555555"/>
          <w:sz w:val="30"/>
          <w:szCs w:val="30"/>
        </w:rPr>
        <w:t xml:space="preserve">Programs, Solutions Routes and Funding</w:t>
      </w:r>
    </w:p>
    <w:p>
      <w:pPr>
        <w:spacing w:after="40"/>
      </w:pPr>
      <w:r>
        <w:rPr>
          <w:b/>
          <w:bCs/>
          <w:sz w:val="21"/>
          <w:szCs w:val="21"/>
        </w:rPr>
        <w:t xml:space="preserve">Research note. Position as at 30 July 2026.</w:t>
      </w:r>
    </w:p>
    <w:p>
      <w:pPr>
        <w:spacing w:after="140"/>
      </w:pPr>
      <w:r>
        <w:rPr>
          <w:sz w:val="21"/>
          <w:szCs w:val="21"/>
        </w:rPr>
        <w:t xml:space="preserve">Compiled from the NYSERDA website, NYSERDA program documents and solicitation records, and one trade press item. Every figure and date in this note is attributed to the source it came from. Nothing in this note is a recommendation.</w:t>
      </w:r>
    </w:p>
    <w:p>
      <w:pPr>
        <w:pBdr>
          <w:bottom w:val="single" w:color="CCCCCC" w:sz="6" w:space="1"/>
        </w:pBdr>
        <w:spacing w:after="200" w:before="120"/>
      </w:pPr>
      <w:r>
        <w:rPr>
          <w:sz w:val="2"/>
          <w:szCs w:val="2"/>
        </w:rPr>
        <w:t xml:space="preserve"/>
      </w:r>
    </w:p>
    <w:p>
      <w:pPr>
        <w:pStyle w:val="Heading1"/>
        <w:spacing w:after="160" w:before="360"/>
      </w:pPr>
      <w:r>
        <w:rPr>
          <w:b/>
          <w:bCs/>
          <w:color w:val="222222"/>
          <w:sz w:val="30"/>
          <w:szCs w:val="30"/>
        </w:rPr>
        <w:t xml:space="preserve">1. Flags</w:t>
      </w:r>
    </w:p>
    <w:p>
      <w:pPr>
        <w:spacing w:after="140"/>
      </w:pPr>
      <w:r>
        <w:rPr>
          <w:sz w:val="21"/>
          <w:szCs w:val="21"/>
        </w:rPr>
        <w:t xml:space="preserve">Four things in this landscape need a decision or a check before any NYSERDA work is built on it.</w:t>
      </w:r>
    </w:p>
    <w:p>
      <w:pPr>
        <w:pStyle w:val="ListParagraph"/>
        <w:numPr>
          <w:ilvl w:val="0"/>
          <w:numId w:val="2"/>
        </w:numPr>
        <w:spacing w:after="90"/>
      </w:pPr>
      <w:r>
        <w:rPr>
          <w:sz w:val="21"/>
          <w:szCs w:val="21"/>
        </w:rPr>
        <w:t xml:space="preserve">The Heat Recovery Program is not currently taking applications, on the available evidence. The open enrollment categories closed on 17 November 2025 and the last competitive demonstration round closed on 3 June 2025. The live program page carries no funding categories at all, only tools, a qualified manufacturer list and webinar recordings.</w:t>
      </w:r>
    </w:p>
    <w:p>
      <w:pPr>
        <w:pStyle w:val="ListParagraph"/>
        <w:numPr>
          <w:ilvl w:val="0"/>
          <w:numId w:val="2"/>
        </w:numPr>
        <w:spacing w:after="90"/>
      </w:pPr>
      <w:r>
        <w:rPr>
          <w:sz w:val="21"/>
          <w:szCs w:val="21"/>
        </w:rPr>
        <w:t xml:space="preserve">The widely circulated story that NYSERDA is offering data centers up to 2 million USD for heat reuse is dated 4 September 2024. Some search indexes stamp it 2026. It describes Category 3 of the closed program, not a live offer.</w:t>
      </w:r>
    </w:p>
    <w:p>
      <w:pPr>
        <w:pStyle w:val="ListParagraph"/>
        <w:numPr>
          <w:ilvl w:val="0"/>
          <w:numId w:val="2"/>
        </w:numPr>
        <w:spacing w:after="90"/>
      </w:pPr>
      <w:r>
        <w:rPr>
          <w:sz w:val="21"/>
          <w:szCs w:val="21"/>
        </w:rPr>
        <w:t xml:space="preserve">P-12 Clean Green Schools Track II is closed, and NYSERDA stated it would coordinate a third round of installation funding in early 2026. That window is now past and the round is unconfirmed. Track I planning enrollment closed 30 December 2025.</w:t>
      </w:r>
    </w:p>
    <w:p>
      <w:pPr>
        <w:pStyle w:val="ListParagraph"/>
        <w:numPr>
          <w:ilvl w:val="0"/>
          <w:numId w:val="2"/>
        </w:numPr>
        <w:spacing w:after="90"/>
      </w:pPr>
      <w:r>
        <w:rPr>
          <w:sz w:val="21"/>
          <w:szCs w:val="21"/>
        </w:rPr>
        <w:t xml:space="preserve">Non stackability bites across the whole NYSERDA estate. Projects that have received or plan to receive incentives from other Clean Energy Fund programs or utility administered incentives are not eligible for funding for the same measures and activities. A measure funded once cannot be funded twice.</w:t>
      </w:r>
    </w:p>
    <w:p>
      <w:pPr>
        <w:pBdr>
          <w:bottom w:val="single" w:color="CCCCCC" w:sz="6" w:space="1"/>
        </w:pBdr>
        <w:spacing w:after="200" w:before="120"/>
      </w:pPr>
      <w:r>
        <w:rPr>
          <w:sz w:val="2"/>
          <w:szCs w:val="2"/>
        </w:rPr>
        <w:t xml:space="preserve"/>
      </w:r>
    </w:p>
    <w:p>
      <w:pPr>
        <w:pStyle w:val="Heading1"/>
        <w:spacing w:after="160" w:before="360"/>
      </w:pPr>
      <w:r>
        <w:rPr>
          <w:b/>
          <w:bCs/>
          <w:color w:val="222222"/>
          <w:sz w:val="30"/>
          <w:szCs w:val="30"/>
        </w:rPr>
        <w:t xml:space="preserve">2. Scope and method</w:t>
      </w:r>
    </w:p>
    <w:p>
      <w:pPr>
        <w:spacing w:after="140"/>
      </w:pPr>
      <w:r>
        <w:rPr>
          <w:sz w:val="21"/>
          <w:szCs w:val="21"/>
        </w:rPr>
        <w:t xml:space="preserve">Searched and read: the Heat Recovery Program pages, the Heat Recovery Solutions page, the funding opportunities landing page, the Large-Scale Thermal pages, the FlexTech program page and eligibility fact sheets, the P-12 Clean Green Schools pages, program webinar decks and question and answer guides, and the NYSERDA solicitation portal records for PON 5547, PON 5614, PON 4924 and RFQL 5217.</w:t>
      </w:r>
    </w:p>
    <w:p>
      <w:pPr>
        <w:spacing w:after="80" w:before="160"/>
      </w:pPr>
      <w:r>
        <w:rPr>
          <w:b/>
          <w:bCs/>
          <w:sz w:val="21"/>
          <w:szCs w:val="21"/>
        </w:rPr>
        <w:t xml:space="preserve">What could not be verified</w:t>
      </w:r>
    </w:p>
    <w:p>
      <w:pPr>
        <w:pStyle w:val="ListParagraph"/>
        <w:numPr>
          <w:ilvl w:val="0"/>
          <w:numId w:val="2"/>
        </w:numPr>
        <w:spacing w:after="90"/>
      </w:pPr>
      <w:r>
        <w:rPr>
          <w:sz w:val="21"/>
          <w:szCs w:val="21"/>
        </w:rPr>
        <w:t xml:space="preserve">The current solicitations list runs off a Salesforce portal that could not be enumerated. Open and closed status in this note is inferred from program pages and from published deadlines that have passed, not read off a live register.</w:t>
      </w:r>
    </w:p>
    <w:p>
      <w:pPr>
        <w:pStyle w:val="ListParagraph"/>
        <w:numPr>
          <w:ilvl w:val="0"/>
          <w:numId w:val="2"/>
        </w:numPr>
        <w:spacing w:after="90"/>
      </w:pPr>
      <w:r>
        <w:rPr>
          <w:sz w:val="21"/>
          <w:szCs w:val="21"/>
        </w:rPr>
        <w:t xml:space="preserve">Whether a successor to PON 5547 is in preparation. Nothing on the site says so either way.</w:t>
      </w:r>
    </w:p>
    <w:p>
      <w:pPr>
        <w:pStyle w:val="ListParagraph"/>
        <w:numPr>
          <w:ilvl w:val="0"/>
          <w:numId w:val="2"/>
        </w:numPr>
        <w:spacing w:after="90"/>
      </w:pPr>
      <w:r>
        <w:rPr>
          <w:sz w:val="21"/>
          <w:szCs w:val="21"/>
        </w:rPr>
        <w:t xml:space="preserve">Whether the Large-Scale Thermal Round 3 referred to in a 19 March webinar is the 2025 or the 2026 round. The page does not carry the year.</w:t>
      </w:r>
    </w:p>
    <w:p>
      <w:pPr>
        <w:pBdr>
          <w:bottom w:val="single" w:color="CCCCCC" w:sz="6" w:space="1"/>
        </w:pBdr>
        <w:spacing w:after="200" w:before="120"/>
      </w:pPr>
      <w:r>
        <w:rPr>
          <w:sz w:val="2"/>
          <w:szCs w:val="2"/>
        </w:rPr>
        <w:t xml:space="preserve"/>
      </w:r>
    </w:p>
    <w:p>
      <w:pPr>
        <w:pStyle w:val="Heading1"/>
        <w:spacing w:after="160" w:before="360"/>
      </w:pPr>
      <w:r>
        <w:rPr>
          <w:b/>
          <w:bCs/>
          <w:color w:val="222222"/>
          <w:sz w:val="30"/>
          <w:szCs w:val="30"/>
        </w:rPr>
        <w:t xml:space="preserve">3. Status summary</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200"/>
        <w:gridCol w:w="1200"/>
        <w:gridCol w:w="2600"/>
        <w:gridCol w:w="1500"/>
        <w:gridCol w:w="1860"/>
      </w:tblGrid>
      <w:tr>
        <w:trPr>
          <w:tblHeader/>
        </w:trPr>
        <w:tc>
          <w:tcPr>
            <w:tcW w:type="dxa" w:w="2200"/>
            <w:shd w:fill="F2F2F2" w:color="auto" w:val="clear"/>
            <w:tcMar>
              <w:top w:type="dxa" w:w="80"/>
              <w:left w:type="dxa" w:w="110"/>
              <w:bottom w:type="dxa" w:w="80"/>
              <w:right w:type="dxa" w:w="110"/>
            </w:tcMar>
          </w:tcPr>
          <w:p>
            <w:r>
              <w:rPr>
                <w:b/>
                <w:bCs/>
                <w:sz w:val="18"/>
                <w:szCs w:val="18"/>
              </w:rPr>
              <w:t xml:space="preserve">Program</w:t>
            </w:r>
          </w:p>
        </w:tc>
        <w:tc>
          <w:tcPr>
            <w:tcW w:type="dxa" w:w="1200"/>
            <w:shd w:fill="F2F2F2" w:color="auto" w:val="clear"/>
            <w:tcMar>
              <w:top w:type="dxa" w:w="80"/>
              <w:left w:type="dxa" w:w="110"/>
              <w:bottom w:type="dxa" w:w="80"/>
              <w:right w:type="dxa" w:w="110"/>
            </w:tcMar>
          </w:tcPr>
          <w:p>
            <w:r>
              <w:rPr>
                <w:b/>
                <w:bCs/>
                <w:sz w:val="18"/>
                <w:szCs w:val="18"/>
              </w:rPr>
              <w:t xml:space="preserve">Reference</w:t>
            </w:r>
          </w:p>
        </w:tc>
        <w:tc>
          <w:tcPr>
            <w:tcW w:type="dxa" w:w="2600"/>
            <w:shd w:fill="F2F2F2" w:color="auto" w:val="clear"/>
            <w:tcMar>
              <w:top w:type="dxa" w:w="80"/>
              <w:left w:type="dxa" w:w="110"/>
              <w:bottom w:type="dxa" w:w="80"/>
              <w:right w:type="dxa" w:w="110"/>
            </w:tcMar>
          </w:tcPr>
          <w:p>
            <w:r>
              <w:rPr>
                <w:b/>
                <w:bCs/>
                <w:sz w:val="18"/>
                <w:szCs w:val="18"/>
              </w:rPr>
              <w:t xml:space="preserve">What it funds</w:t>
            </w:r>
          </w:p>
        </w:tc>
        <w:tc>
          <w:tcPr>
            <w:tcW w:type="dxa" w:w="1500"/>
            <w:shd w:fill="F2F2F2" w:color="auto" w:val="clear"/>
            <w:tcMar>
              <w:top w:type="dxa" w:w="80"/>
              <w:left w:type="dxa" w:w="110"/>
              <w:bottom w:type="dxa" w:w="80"/>
              <w:right w:type="dxa" w:w="110"/>
            </w:tcMar>
          </w:tcPr>
          <w:p>
            <w:r>
              <w:rPr>
                <w:b/>
                <w:bCs/>
                <w:sz w:val="18"/>
                <w:szCs w:val="18"/>
              </w:rPr>
              <w:t xml:space="preserve">Ceiling</w:t>
            </w:r>
          </w:p>
        </w:tc>
        <w:tc>
          <w:tcPr>
            <w:tcW w:type="dxa" w:w="1860"/>
            <w:shd w:fill="F2F2F2" w:color="auto" w:val="clear"/>
            <w:tcMar>
              <w:top w:type="dxa" w:w="80"/>
              <w:left w:type="dxa" w:w="110"/>
              <w:bottom w:type="dxa" w:w="80"/>
              <w:right w:type="dxa" w:w="110"/>
            </w:tcMar>
          </w:tcPr>
          <w:p>
            <w:r>
              <w:rPr>
                <w:b/>
                <w:bCs/>
                <w:sz w:val="18"/>
                <w:szCs w:val="18"/>
              </w:rPr>
              <w:t xml:space="preserve">Status</w:t>
            </w:r>
          </w:p>
        </w:tc>
      </w:tr>
      <w:tr>
        <w:trPr>
          <w:tblHeader w:val="false"/>
        </w:trPr>
        <w:tc>
          <w:tcPr>
            <w:tcW w:type="dxa" w:w="2200"/>
            <w:tcMar>
              <w:top w:type="dxa" w:w="80"/>
              <w:left w:type="dxa" w:w="110"/>
              <w:bottom w:type="dxa" w:w="80"/>
              <w:right w:type="dxa" w:w="110"/>
            </w:tcMar>
          </w:tcPr>
          <w:p>
            <w:r>
              <w:rPr>
                <w:sz w:val="18"/>
                <w:szCs w:val="18"/>
              </w:rPr>
              <w:t xml:space="preserve">Heat Recovery Program</w:t>
            </w:r>
          </w:p>
        </w:tc>
        <w:tc>
          <w:tcPr>
            <w:tcW w:type="dxa" w:w="1200"/>
            <w:tcMar>
              <w:top w:type="dxa" w:w="80"/>
              <w:left w:type="dxa" w:w="110"/>
              <w:bottom w:type="dxa" w:w="80"/>
              <w:right w:type="dxa" w:w="110"/>
            </w:tcMar>
          </w:tcPr>
          <w:p>
            <w:r>
              <w:rPr>
                <w:sz w:val="18"/>
                <w:szCs w:val="18"/>
              </w:rPr>
              <w:t xml:space="preserve">PON 5547</w:t>
            </w:r>
          </w:p>
        </w:tc>
        <w:tc>
          <w:tcPr>
            <w:tcW w:type="dxa" w:w="2600"/>
            <w:tcMar>
              <w:top w:type="dxa" w:w="80"/>
              <w:left w:type="dxa" w:w="110"/>
              <w:bottom w:type="dxa" w:w="80"/>
              <w:right w:type="dxa" w:w="110"/>
            </w:tcMar>
          </w:tcPr>
          <w:p>
            <w:r>
              <w:rPr>
                <w:sz w:val="18"/>
                <w:szCs w:val="18"/>
              </w:rPr>
              <w:t xml:space="preserve">Assessment, design, demonstration, manufacturer growth</w:t>
            </w:r>
          </w:p>
        </w:tc>
        <w:tc>
          <w:tcPr>
            <w:tcW w:type="dxa" w:w="1500"/>
            <w:tcMar>
              <w:top w:type="dxa" w:w="80"/>
              <w:left w:type="dxa" w:w="110"/>
              <w:bottom w:type="dxa" w:w="80"/>
              <w:right w:type="dxa" w:w="110"/>
            </w:tcMar>
          </w:tcPr>
          <w:p>
            <w:r>
              <w:rPr>
                <w:sz w:val="18"/>
                <w:szCs w:val="18"/>
              </w:rPr>
              <w:t xml:space="preserve">2,000,000 USD (demonstration)</w:t>
            </w:r>
          </w:p>
        </w:tc>
        <w:tc>
          <w:tcPr>
            <w:tcW w:type="dxa" w:w="1860"/>
            <w:tcMar>
              <w:top w:type="dxa" w:w="80"/>
              <w:left w:type="dxa" w:w="110"/>
              <w:bottom w:type="dxa" w:w="80"/>
              <w:right w:type="dxa" w:w="110"/>
            </w:tcMar>
          </w:tcPr>
          <w:p>
            <w:r>
              <w:rPr>
                <w:sz w:val="18"/>
                <w:szCs w:val="18"/>
              </w:rPr>
              <w:t xml:space="preserve">Closed on available evidence</w:t>
            </w:r>
          </w:p>
        </w:tc>
      </w:tr>
      <w:tr>
        <w:trPr>
          <w:tblHeader w:val="false"/>
        </w:trPr>
        <w:tc>
          <w:tcPr>
            <w:tcW w:type="dxa" w:w="2200"/>
            <w:tcMar>
              <w:top w:type="dxa" w:w="80"/>
              <w:left w:type="dxa" w:w="110"/>
              <w:bottom w:type="dxa" w:w="80"/>
              <w:right w:type="dxa" w:w="110"/>
            </w:tcMar>
          </w:tcPr>
          <w:p>
            <w:r>
              <w:rPr>
                <w:sz w:val="18"/>
                <w:szCs w:val="18"/>
              </w:rPr>
              <w:t xml:space="preserve">Heat Recovery Solutions</w:t>
            </w:r>
          </w:p>
        </w:tc>
        <w:tc>
          <w:tcPr>
            <w:tcW w:type="dxa" w:w="1200"/>
            <w:tcMar>
              <w:top w:type="dxa" w:w="80"/>
              <w:left w:type="dxa" w:w="110"/>
              <w:bottom w:type="dxa" w:w="80"/>
              <w:right w:type="dxa" w:w="110"/>
            </w:tcMar>
          </w:tcPr>
          <w:p>
            <w:r>
              <w:rPr>
                <w:sz w:val="18"/>
                <w:szCs w:val="18"/>
              </w:rPr>
              <w:t xml:space="preserve">RFQL 5217</w:t>
            </w:r>
          </w:p>
        </w:tc>
        <w:tc>
          <w:tcPr>
            <w:tcW w:type="dxa" w:w="2600"/>
            <w:tcMar>
              <w:top w:type="dxa" w:w="80"/>
              <w:left w:type="dxa" w:w="110"/>
              <w:bottom w:type="dxa" w:w="80"/>
              <w:right w:type="dxa" w:w="110"/>
            </w:tcMar>
          </w:tcPr>
          <w:p>
            <w:r>
              <w:rPr>
                <w:sz w:val="18"/>
                <w:szCs w:val="18"/>
              </w:rPr>
              <w:t xml:space="preserve">Qualification of manufacturers onto a published list</w:t>
            </w:r>
          </w:p>
        </w:tc>
        <w:tc>
          <w:tcPr>
            <w:tcW w:type="dxa" w:w="1500"/>
            <w:tcMar>
              <w:top w:type="dxa" w:w="80"/>
              <w:left w:type="dxa" w:w="110"/>
              <w:bottom w:type="dxa" w:w="80"/>
              <w:right w:type="dxa" w:w="110"/>
            </w:tcMar>
          </w:tcPr>
          <w:p>
            <w:r>
              <w:rPr>
                <w:sz w:val="18"/>
                <w:szCs w:val="18"/>
              </w:rPr>
              <w:t xml:space="preserve">No cash award</w:t>
            </w:r>
          </w:p>
        </w:tc>
        <w:tc>
          <w:tcPr>
            <w:tcW w:type="dxa" w:w="1860"/>
            <w:tcMar>
              <w:top w:type="dxa" w:w="80"/>
              <w:left w:type="dxa" w:w="110"/>
              <w:bottom w:type="dxa" w:w="80"/>
              <w:right w:type="dxa" w:w="110"/>
            </w:tcMar>
          </w:tcPr>
          <w:p>
            <w:r>
              <w:rPr>
                <w:sz w:val="18"/>
                <w:szCs w:val="18"/>
              </w:rPr>
              <w:t xml:space="preserve">List published and live</w:t>
            </w:r>
          </w:p>
        </w:tc>
      </w:tr>
      <w:tr>
        <w:trPr>
          <w:tblHeader w:val="false"/>
        </w:trPr>
        <w:tc>
          <w:tcPr>
            <w:tcW w:type="dxa" w:w="2200"/>
            <w:tcMar>
              <w:top w:type="dxa" w:w="80"/>
              <w:left w:type="dxa" w:w="110"/>
              <w:bottom w:type="dxa" w:w="80"/>
              <w:right w:type="dxa" w:w="110"/>
            </w:tcMar>
          </w:tcPr>
          <w:p>
            <w:r>
              <w:rPr>
                <w:sz w:val="18"/>
                <w:szCs w:val="18"/>
              </w:rPr>
              <w:t xml:space="preserve">Large-Scale Thermal</w:t>
            </w:r>
          </w:p>
        </w:tc>
        <w:tc>
          <w:tcPr>
            <w:tcW w:type="dxa" w:w="1200"/>
            <w:tcMar>
              <w:top w:type="dxa" w:w="80"/>
              <w:left w:type="dxa" w:w="110"/>
              <w:bottom w:type="dxa" w:w="80"/>
              <w:right w:type="dxa" w:w="110"/>
            </w:tcMar>
          </w:tcPr>
          <w:p>
            <w:r>
              <w:rPr>
                <w:sz w:val="18"/>
                <w:szCs w:val="18"/>
              </w:rPr>
              <w:t xml:space="preserve">PON 5614</w:t>
            </w:r>
          </w:p>
        </w:tc>
        <w:tc>
          <w:tcPr>
            <w:tcW w:type="dxa" w:w="2600"/>
            <w:tcMar>
              <w:top w:type="dxa" w:w="80"/>
              <w:left w:type="dxa" w:w="110"/>
              <w:bottom w:type="dxa" w:w="80"/>
              <w:right w:type="dxa" w:w="110"/>
            </w:tcMar>
          </w:tcPr>
          <w:p>
            <w:r>
              <w:rPr>
                <w:sz w:val="18"/>
                <w:szCs w:val="18"/>
              </w:rPr>
              <w:t xml:space="preserve">Design funding for large scale and network thermal</w:t>
            </w:r>
          </w:p>
        </w:tc>
        <w:tc>
          <w:tcPr>
            <w:tcW w:type="dxa" w:w="1500"/>
            <w:tcMar>
              <w:top w:type="dxa" w:w="80"/>
              <w:left w:type="dxa" w:w="110"/>
              <w:bottom w:type="dxa" w:w="80"/>
              <w:right w:type="dxa" w:w="110"/>
            </w:tcMar>
          </w:tcPr>
          <w:p>
            <w:r>
              <w:rPr>
                <w:sz w:val="18"/>
                <w:szCs w:val="18"/>
              </w:rPr>
              <w:t xml:space="preserve">Not published on page</w:t>
            </w:r>
          </w:p>
        </w:tc>
        <w:tc>
          <w:tcPr>
            <w:tcW w:type="dxa" w:w="1860"/>
            <w:tcMar>
              <w:top w:type="dxa" w:w="80"/>
              <w:left w:type="dxa" w:w="110"/>
              <w:bottom w:type="dxa" w:w="80"/>
              <w:right w:type="dxa" w:w="110"/>
            </w:tcMar>
          </w:tcPr>
          <w:p>
            <w:r>
              <w:rPr>
                <w:sz w:val="18"/>
                <w:szCs w:val="18"/>
              </w:rPr>
              <w:t xml:space="preserve">Round 3 announced</w:t>
            </w:r>
          </w:p>
        </w:tc>
      </w:tr>
      <w:tr>
        <w:trPr>
          <w:tblHeader w:val="false"/>
        </w:trPr>
        <w:tc>
          <w:tcPr>
            <w:tcW w:type="dxa" w:w="2200"/>
            <w:tcMar>
              <w:top w:type="dxa" w:w="80"/>
              <w:left w:type="dxa" w:w="110"/>
              <w:bottom w:type="dxa" w:w="80"/>
              <w:right w:type="dxa" w:w="110"/>
            </w:tcMar>
          </w:tcPr>
          <w:p>
            <w:r>
              <w:rPr>
                <w:sz w:val="18"/>
                <w:szCs w:val="18"/>
              </w:rPr>
              <w:t xml:space="preserve">Community Heat Pump Systems</w:t>
            </w:r>
          </w:p>
        </w:tc>
        <w:tc>
          <w:tcPr>
            <w:tcW w:type="dxa" w:w="1200"/>
            <w:tcMar>
              <w:top w:type="dxa" w:w="80"/>
              <w:left w:type="dxa" w:w="110"/>
              <w:bottom w:type="dxa" w:w="80"/>
              <w:right w:type="dxa" w:w="110"/>
            </w:tcMar>
          </w:tcPr>
          <w:p>
            <w:r>
              <w:rPr>
                <w:sz w:val="18"/>
                <w:szCs w:val="18"/>
              </w:rPr>
              <w:t xml:space="preserve">PON 4614</w:t>
            </w:r>
          </w:p>
        </w:tc>
        <w:tc>
          <w:tcPr>
            <w:tcW w:type="dxa" w:w="2600"/>
            <w:tcMar>
              <w:top w:type="dxa" w:w="80"/>
              <w:left w:type="dxa" w:w="110"/>
              <w:bottom w:type="dxa" w:w="80"/>
              <w:right w:type="dxa" w:w="110"/>
            </w:tcMar>
          </w:tcPr>
          <w:p>
            <w:r>
              <w:rPr>
                <w:sz w:val="18"/>
                <w:szCs w:val="18"/>
              </w:rPr>
              <w:t xml:space="preserve">Feasibility studies and system design</w:t>
            </w:r>
          </w:p>
        </w:tc>
        <w:tc>
          <w:tcPr>
            <w:tcW w:type="dxa" w:w="1500"/>
            <w:tcMar>
              <w:top w:type="dxa" w:w="80"/>
              <w:left w:type="dxa" w:w="110"/>
              <w:bottom w:type="dxa" w:w="80"/>
              <w:right w:type="dxa" w:w="110"/>
            </w:tcMar>
          </w:tcPr>
          <w:p>
            <w:r>
              <w:rPr>
                <w:sz w:val="18"/>
                <w:szCs w:val="18"/>
              </w:rPr>
              <w:t xml:space="preserve">3,900,000 USD (one award, Category C)</w:t>
            </w:r>
          </w:p>
        </w:tc>
        <w:tc>
          <w:tcPr>
            <w:tcW w:type="dxa" w:w="1860"/>
            <w:tcMar>
              <w:top w:type="dxa" w:w="80"/>
              <w:left w:type="dxa" w:w="110"/>
              <w:bottom w:type="dxa" w:w="80"/>
              <w:right w:type="dxa" w:w="110"/>
            </w:tcMar>
          </w:tcPr>
          <w:p>
            <w:r>
              <w:rPr>
                <w:sz w:val="18"/>
                <w:szCs w:val="18"/>
              </w:rPr>
              <w:t xml:space="preserve">Superseded, reports published</w:t>
            </w:r>
          </w:p>
        </w:tc>
      </w:tr>
      <w:tr>
        <w:trPr>
          <w:tblHeader w:val="false"/>
        </w:trPr>
        <w:tc>
          <w:tcPr>
            <w:tcW w:type="dxa" w:w="2200"/>
            <w:tcMar>
              <w:top w:type="dxa" w:w="80"/>
              <w:left w:type="dxa" w:w="110"/>
              <w:bottom w:type="dxa" w:w="80"/>
              <w:right w:type="dxa" w:w="110"/>
            </w:tcMar>
          </w:tcPr>
          <w:p>
            <w:r>
              <w:rPr>
                <w:sz w:val="18"/>
                <w:szCs w:val="18"/>
              </w:rPr>
              <w:t xml:space="preserve">FlexTech</w:t>
            </w:r>
          </w:p>
        </w:tc>
        <w:tc>
          <w:tcPr>
            <w:tcW w:type="dxa" w:w="1200"/>
            <w:tcMar>
              <w:top w:type="dxa" w:w="80"/>
              <w:left w:type="dxa" w:w="110"/>
              <w:bottom w:type="dxa" w:w="80"/>
              <w:right w:type="dxa" w:w="110"/>
            </w:tcMar>
          </w:tcPr>
          <w:p>
            <w:r>
              <w:rPr>
                <w:sz w:val="18"/>
                <w:szCs w:val="18"/>
              </w:rPr>
              <w:t xml:space="preserve">PON 4192</w:t>
            </w:r>
          </w:p>
        </w:tc>
        <w:tc>
          <w:tcPr>
            <w:tcW w:type="dxa" w:w="2600"/>
            <w:tcMar>
              <w:top w:type="dxa" w:w="80"/>
              <w:left w:type="dxa" w:w="110"/>
              <w:bottom w:type="dxa" w:w="80"/>
              <w:right w:type="dxa" w:w="110"/>
            </w:tcMar>
          </w:tcPr>
          <w:p>
            <w:r>
              <w:rPr>
                <w:sz w:val="18"/>
                <w:szCs w:val="18"/>
              </w:rPr>
              <w:t xml:space="preserve">Cost shared energy studies including Thermal Energy Network studies</w:t>
            </w:r>
          </w:p>
        </w:tc>
        <w:tc>
          <w:tcPr>
            <w:tcW w:type="dxa" w:w="1500"/>
            <w:tcMar>
              <w:top w:type="dxa" w:w="80"/>
              <w:left w:type="dxa" w:w="110"/>
              <w:bottom w:type="dxa" w:w="80"/>
              <w:right w:type="dxa" w:w="110"/>
            </w:tcMar>
          </w:tcPr>
          <w:p>
            <w:r>
              <w:rPr>
                <w:sz w:val="18"/>
                <w:szCs w:val="18"/>
              </w:rPr>
              <w:t xml:space="preserve">500,000 USD or 20 per cent of annual energy spend</w:t>
            </w:r>
          </w:p>
        </w:tc>
        <w:tc>
          <w:tcPr>
            <w:tcW w:type="dxa" w:w="1860"/>
            <w:tcMar>
              <w:top w:type="dxa" w:w="80"/>
              <w:left w:type="dxa" w:w="110"/>
              <w:bottom w:type="dxa" w:w="80"/>
              <w:right w:type="dxa" w:w="110"/>
            </w:tcMar>
          </w:tcPr>
          <w:p>
            <w:r>
              <w:rPr>
                <w:sz w:val="18"/>
                <w:szCs w:val="18"/>
              </w:rPr>
              <w:t xml:space="preserve">Live</w:t>
            </w:r>
          </w:p>
        </w:tc>
      </w:tr>
      <w:tr>
        <w:trPr>
          <w:tblHeader w:val="false"/>
        </w:trPr>
        <w:tc>
          <w:tcPr>
            <w:tcW w:type="dxa" w:w="2200"/>
            <w:tcMar>
              <w:top w:type="dxa" w:w="80"/>
              <w:left w:type="dxa" w:w="110"/>
              <w:bottom w:type="dxa" w:w="80"/>
              <w:right w:type="dxa" w:w="110"/>
            </w:tcMar>
          </w:tcPr>
          <w:p>
            <w:r>
              <w:rPr>
                <w:sz w:val="18"/>
                <w:szCs w:val="18"/>
              </w:rPr>
              <w:t xml:space="preserve">P-12 Clean Green Schools</w:t>
            </w:r>
          </w:p>
        </w:tc>
        <w:tc>
          <w:tcPr>
            <w:tcW w:type="dxa" w:w="1200"/>
            <w:tcMar>
              <w:top w:type="dxa" w:w="80"/>
              <w:left w:type="dxa" w:w="110"/>
              <w:bottom w:type="dxa" w:w="80"/>
              <w:right w:type="dxa" w:w="110"/>
            </w:tcMar>
          </w:tcPr>
          <w:p>
            <w:r>
              <w:rPr>
                <w:sz w:val="18"/>
                <w:szCs w:val="18"/>
              </w:rPr>
              <w:t xml:space="preserve">PON 4924</w:t>
            </w:r>
          </w:p>
        </w:tc>
        <w:tc>
          <w:tcPr>
            <w:tcW w:type="dxa" w:w="2600"/>
            <w:tcMar>
              <w:top w:type="dxa" w:w="80"/>
              <w:left w:type="dxa" w:w="110"/>
              <w:bottom w:type="dxa" w:w="80"/>
              <w:right w:type="dxa" w:w="110"/>
            </w:tcMar>
          </w:tcPr>
          <w:p>
            <w:r>
              <w:rPr>
                <w:sz w:val="18"/>
                <w:szCs w:val="18"/>
              </w:rPr>
              <w:t xml:space="preserve">Track I planning, Track II installation</w:t>
            </w:r>
          </w:p>
        </w:tc>
        <w:tc>
          <w:tcPr>
            <w:tcW w:type="dxa" w:w="1500"/>
            <w:tcMar>
              <w:top w:type="dxa" w:w="80"/>
              <w:left w:type="dxa" w:w="110"/>
              <w:bottom w:type="dxa" w:w="80"/>
              <w:right w:type="dxa" w:w="110"/>
            </w:tcMar>
          </w:tcPr>
          <w:p>
            <w:r>
              <w:rPr>
                <w:sz w:val="18"/>
                <w:szCs w:val="18"/>
              </w:rPr>
              <w:t xml:space="preserve">150,000 USD Track I cap</w:t>
            </w:r>
          </w:p>
        </w:tc>
        <w:tc>
          <w:tcPr>
            <w:tcW w:type="dxa" w:w="1860"/>
            <w:tcMar>
              <w:top w:type="dxa" w:w="80"/>
              <w:left w:type="dxa" w:w="110"/>
              <w:bottom w:type="dxa" w:w="80"/>
              <w:right w:type="dxa" w:w="110"/>
            </w:tcMar>
          </w:tcPr>
          <w:p>
            <w:r>
              <w:rPr>
                <w:sz w:val="18"/>
                <w:szCs w:val="18"/>
              </w:rPr>
              <w:t xml:space="preserve">Both tracks closed, round three signalled</w:t>
            </w:r>
          </w:p>
        </w:tc>
      </w:tr>
      <w:tr>
        <w:trPr>
          <w:tblHeader w:val="false"/>
        </w:trPr>
        <w:tc>
          <w:tcPr>
            <w:tcW w:type="dxa" w:w="2200"/>
            <w:tcMar>
              <w:top w:type="dxa" w:w="80"/>
              <w:left w:type="dxa" w:w="110"/>
              <w:bottom w:type="dxa" w:w="80"/>
              <w:right w:type="dxa" w:w="110"/>
            </w:tcMar>
          </w:tcPr>
          <w:p>
            <w:r>
              <w:rPr>
                <w:sz w:val="18"/>
                <w:szCs w:val="18"/>
              </w:rPr>
              <w:t xml:space="preserve">Empire Building Challenge</w:t>
            </w:r>
          </w:p>
        </w:tc>
        <w:tc>
          <w:tcPr>
            <w:tcW w:type="dxa" w:w="1200"/>
            <w:tcMar>
              <w:top w:type="dxa" w:w="80"/>
              <w:left w:type="dxa" w:w="110"/>
              <w:bottom w:type="dxa" w:w="80"/>
              <w:right w:type="dxa" w:w="110"/>
            </w:tcMar>
          </w:tcPr>
          <w:p>
            <w:r>
              <w:rPr>
                <w:sz w:val="18"/>
                <w:szCs w:val="18"/>
              </w:rPr>
              <w:t xml:space="preserve">Partnership</w:t>
            </w:r>
          </w:p>
        </w:tc>
        <w:tc>
          <w:tcPr>
            <w:tcW w:type="dxa" w:w="2600"/>
            <w:tcMar>
              <w:top w:type="dxa" w:w="80"/>
              <w:left w:type="dxa" w:w="110"/>
              <w:bottom w:type="dxa" w:w="80"/>
              <w:right w:type="dxa" w:w="110"/>
            </w:tcMar>
          </w:tcPr>
          <w:p>
            <w:r>
              <w:rPr>
                <w:sz w:val="18"/>
                <w:szCs w:val="18"/>
              </w:rPr>
              <w:t xml:space="preserve">Demonstration retrofits in high rise buildings</w:t>
            </w:r>
          </w:p>
        </w:tc>
        <w:tc>
          <w:tcPr>
            <w:tcW w:type="dxa" w:w="1500"/>
            <w:tcMar>
              <w:top w:type="dxa" w:w="80"/>
              <w:left w:type="dxa" w:w="110"/>
              <w:bottom w:type="dxa" w:w="80"/>
              <w:right w:type="dxa" w:w="110"/>
            </w:tcMar>
          </w:tcPr>
          <w:p>
            <w:r>
              <w:rPr>
                <w:sz w:val="18"/>
                <w:szCs w:val="18"/>
              </w:rPr>
              <w:t xml:space="preserve">Not published on page</w:t>
            </w:r>
          </w:p>
        </w:tc>
        <w:tc>
          <w:tcPr>
            <w:tcW w:type="dxa" w:w="1860"/>
            <w:tcMar>
              <w:top w:type="dxa" w:w="80"/>
              <w:left w:type="dxa" w:w="110"/>
              <w:bottom w:type="dxa" w:w="80"/>
              <w:right w:type="dxa" w:w="110"/>
            </w:tcMar>
          </w:tcPr>
          <w:p>
            <w:r>
              <w:rPr>
                <w:sz w:val="18"/>
                <w:szCs w:val="18"/>
              </w:rPr>
              <w:t xml:space="preserve">Ten projects awarded</w:t>
            </w:r>
          </w:p>
        </w:tc>
      </w:tr>
    </w:tbl>
    <w:p>
      <w:pPr>
        <w:spacing w:after="200" w:before="80"/>
      </w:pPr>
      <w:r>
        <w:rPr>
          <w:i/>
          <w:iCs/>
          <w:color w:val="666666"/>
          <w:sz w:val="17"/>
          <w:szCs w:val="17"/>
        </w:rPr>
        <w:t xml:space="preserve">Source: nyserda.ny.gov program pages and solicitation records, read 30 July 2026.</w:t>
      </w:r>
    </w:p>
    <w:p>
      <w:r>
        <w:br w:type="page"/>
      </w:r>
    </w:p>
    <w:p>
      <w:pPr>
        <w:pStyle w:val="Heading1"/>
        <w:spacing w:after="160" w:before="360"/>
      </w:pPr>
      <w:r>
        <w:rPr>
          <w:b/>
          <w:bCs/>
          <w:color w:val="222222"/>
          <w:sz w:val="30"/>
          <w:szCs w:val="30"/>
        </w:rPr>
        <w:t xml:space="preserve">4. Heat Recovery Program (PON 5547)</w:t>
      </w:r>
    </w:p>
    <w:p>
      <w:pPr>
        <w:pStyle w:val="Heading2"/>
        <w:spacing w:after="120" w:before="260"/>
      </w:pPr>
      <w:r>
        <w:rPr>
          <w:b/>
          <w:bCs/>
          <w:color w:val="B02020"/>
          <w:sz w:val="24"/>
          <w:szCs w:val="24"/>
        </w:rPr>
        <w:t xml:space="preserve">4.1 Origin, budget and intent</w:t>
      </w:r>
    </w:p>
    <w:p>
      <w:pPr>
        <w:spacing w:after="140"/>
      </w:pPr>
      <w:r>
        <w:rPr>
          <w:sz w:val="21"/>
          <w:szCs w:val="21"/>
        </w:rPr>
        <w:t xml:space="preserve">Announced on 30 October 2023 as a 12 million USD open enrollment program to modernise buildings in New York State, focused on decarbonisation and retrofit projects that reuse heat to save energy and reduce fossil fuel use. By a program update webinar of 19 February 2025 the budget was stated as 27 million USD across four categories.</w:t>
      </w:r>
    </w:p>
    <w:p>
      <w:pPr>
        <w:spacing w:after="140"/>
      </w:pPr>
      <w:r>
        <w:rPr>
          <w:sz w:val="21"/>
          <w:szCs w:val="21"/>
        </w:rPr>
        <w:t xml:space="preserve">The program frames heat recovery as the capture and transfer of rejected heat to lower the energy used by other systems, naming heat rejected and captured from cooling and dehumidification, ventilation exhaust, or wastewater processes. NYSERDA positions it as a no regrets step in a phased decarbonisation sequence that runs reduce, recover, partial electrification, full electrification.</w:t>
      </w:r>
    </w:p>
    <w:p>
      <w:pPr>
        <w:spacing w:after="140"/>
      </w:pPr>
      <w:r>
        <w:rPr>
          <w:sz w:val="21"/>
          <w:szCs w:val="21"/>
        </w:rPr>
        <w:t xml:space="preserve">The stated program goal is to grow the pool of completed heat recovery projects in New York State from ten to one hundred. NYSERDA cites the Empire Building Challenge as the evidence base: all ten projects awarded there featured heat recovery in some form.</w:t>
      </w:r>
    </w:p>
    <w:p>
      <w:pPr>
        <w:spacing w:after="200" w:before="80"/>
      </w:pPr>
      <w:r>
        <w:rPr>
          <w:i/>
          <w:iCs/>
          <w:color w:val="666666"/>
          <w:sz w:val="17"/>
          <w:szCs w:val="17"/>
        </w:rPr>
        <w:t xml:space="preserve">Source: nyserda.ny.gov 2023 announcement; Heat Recovery Program page; Heat Recovery Program Updates February 2025 deck.</w:t>
      </w:r>
    </w:p>
    <w:p>
      <w:pPr>
        <w:pStyle w:val="Heading2"/>
        <w:spacing w:after="120" w:before="260"/>
      </w:pPr>
      <w:r>
        <w:rPr>
          <w:b/>
          <w:bCs/>
          <w:color w:val="B02020"/>
          <w:sz w:val="24"/>
          <w:szCs w:val="24"/>
        </w:rPr>
        <w:t xml:space="preserve">4.2 The four categories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100"/>
        <w:gridCol w:w="3560"/>
        <w:gridCol w:w="1900"/>
        <w:gridCol w:w="1800"/>
      </w:tblGrid>
      <w:tr>
        <w:trPr>
          <w:tblHeader/>
        </w:trPr>
        <w:tc>
          <w:tcPr>
            <w:tcW w:type="dxa" w:w="2100"/>
            <w:shd w:fill="F2F2F2" w:color="auto" w:val="clear"/>
            <w:tcMar>
              <w:top w:type="dxa" w:w="80"/>
              <w:left w:type="dxa" w:w="110"/>
              <w:bottom w:type="dxa" w:w="80"/>
              <w:right w:type="dxa" w:w="110"/>
            </w:tcMar>
          </w:tcPr>
          <w:p>
            <w:r>
              <w:rPr>
                <w:b/>
                <w:bCs/>
                <w:sz w:val="18"/>
                <w:szCs w:val="18"/>
              </w:rPr>
              <w:t xml:space="preserve">Category</w:t>
            </w:r>
          </w:p>
        </w:tc>
        <w:tc>
          <w:tcPr>
            <w:tcW w:type="dxa" w:w="3560"/>
            <w:shd w:fill="F2F2F2" w:color="auto" w:val="clear"/>
            <w:tcMar>
              <w:top w:type="dxa" w:w="80"/>
              <w:left w:type="dxa" w:w="110"/>
              <w:bottom w:type="dxa" w:w="80"/>
              <w:right w:type="dxa" w:w="110"/>
            </w:tcMar>
          </w:tcPr>
          <w:p>
            <w:r>
              <w:rPr>
                <w:b/>
                <w:bCs/>
                <w:sz w:val="18"/>
                <w:szCs w:val="18"/>
              </w:rPr>
              <w:t xml:space="preserve">Funded activity</w:t>
            </w:r>
          </w:p>
        </w:tc>
        <w:tc>
          <w:tcPr>
            <w:tcW w:type="dxa" w:w="1900"/>
            <w:shd w:fill="F2F2F2" w:color="auto" w:val="clear"/>
            <w:tcMar>
              <w:top w:type="dxa" w:w="80"/>
              <w:left w:type="dxa" w:w="110"/>
              <w:bottom w:type="dxa" w:w="80"/>
              <w:right w:type="dxa" w:w="110"/>
            </w:tcMar>
          </w:tcPr>
          <w:p>
            <w:r>
              <w:rPr>
                <w:b/>
                <w:bCs/>
                <w:sz w:val="18"/>
                <w:szCs w:val="18"/>
              </w:rPr>
              <w:t xml:space="preserve">Maximum per award</w:t>
            </w:r>
          </w:p>
        </w:tc>
        <w:tc>
          <w:tcPr>
            <w:tcW w:type="dxa" w:w="1800"/>
            <w:shd w:fill="F2F2F2" w:color="auto" w:val="clear"/>
            <w:tcMar>
              <w:top w:type="dxa" w:w="80"/>
              <w:left w:type="dxa" w:w="110"/>
              <w:bottom w:type="dxa" w:w="80"/>
              <w:right w:type="dxa" w:w="110"/>
            </w:tcMar>
          </w:tcPr>
          <w:p>
            <w:r>
              <w:rPr>
                <w:b/>
                <w:bCs/>
                <w:sz w:val="18"/>
                <w:szCs w:val="18"/>
              </w:rPr>
              <w:t xml:space="preserve">Cost share</w:t>
            </w:r>
          </w:p>
        </w:tc>
      </w:tr>
      <w:tr>
        <w:trPr>
          <w:tblHeader w:val="false"/>
        </w:trPr>
        <w:tc>
          <w:tcPr>
            <w:tcW w:type="dxa" w:w="2100"/>
            <w:tcMar>
              <w:top w:type="dxa" w:w="80"/>
              <w:left w:type="dxa" w:w="110"/>
              <w:bottom w:type="dxa" w:w="80"/>
              <w:right w:type="dxa" w:w="110"/>
            </w:tcMar>
          </w:tcPr>
          <w:p>
            <w:r>
              <w:rPr>
                <w:sz w:val="18"/>
                <w:szCs w:val="18"/>
              </w:rPr>
              <w:t xml:space="preserve">1. Opportunity Assessment</w:t>
            </w:r>
          </w:p>
        </w:tc>
        <w:tc>
          <w:tcPr>
            <w:tcW w:type="dxa" w:w="3560"/>
            <w:tcMar>
              <w:top w:type="dxa" w:w="80"/>
              <w:left w:type="dxa" w:w="110"/>
              <w:bottom w:type="dxa" w:w="80"/>
              <w:right w:type="dxa" w:w="110"/>
            </w:tcMar>
          </w:tcPr>
          <w:p>
            <w:r>
              <w:rPr>
                <w:sz w:val="18"/>
                <w:szCs w:val="18"/>
              </w:rPr>
              <w:t xml:space="preserve">Document current operations, quantify and diagram rejected heat, define the heat recovery opportunity across ventilation, cooling, process, wastewater and thermal storage</w:t>
            </w:r>
          </w:p>
        </w:tc>
        <w:tc>
          <w:tcPr>
            <w:tcW w:type="dxa" w:w="1900"/>
            <w:tcMar>
              <w:top w:type="dxa" w:w="80"/>
              <w:left w:type="dxa" w:w="110"/>
              <w:bottom w:type="dxa" w:w="80"/>
              <w:right w:type="dxa" w:w="110"/>
            </w:tcMar>
          </w:tcPr>
          <w:p>
            <w:r>
              <w:rPr>
                <w:sz w:val="18"/>
                <w:szCs w:val="18"/>
              </w:rPr>
              <w:t xml:space="preserve">40,000 USD</w:t>
            </w:r>
          </w:p>
        </w:tc>
        <w:tc>
          <w:tcPr>
            <w:tcW w:type="dxa" w:w="1800"/>
            <w:tcMar>
              <w:top w:type="dxa" w:w="80"/>
              <w:left w:type="dxa" w:w="110"/>
              <w:bottom w:type="dxa" w:w="80"/>
              <w:right w:type="dxa" w:w="110"/>
            </w:tcMar>
          </w:tcPr>
          <w:p>
            <w:r>
              <w:rPr>
                <w:sz w:val="18"/>
                <w:szCs w:val="18"/>
              </w:rPr>
              <w:t xml:space="preserve">75 per cent</w:t>
            </w:r>
          </w:p>
        </w:tc>
      </w:tr>
      <w:tr>
        <w:trPr>
          <w:tblHeader w:val="false"/>
        </w:trPr>
        <w:tc>
          <w:tcPr>
            <w:tcW w:type="dxa" w:w="2100"/>
            <w:tcMar>
              <w:top w:type="dxa" w:w="80"/>
              <w:left w:type="dxa" w:w="110"/>
              <w:bottom w:type="dxa" w:w="80"/>
              <w:right w:type="dxa" w:w="110"/>
            </w:tcMar>
          </w:tcPr>
          <w:p>
            <w:r>
              <w:rPr>
                <w:sz w:val="18"/>
                <w:szCs w:val="18"/>
              </w:rPr>
              <w:t xml:space="preserve">2. Project Design</w:t>
            </w:r>
          </w:p>
        </w:tc>
        <w:tc>
          <w:tcPr>
            <w:tcW w:type="dxa" w:w="3560"/>
            <w:tcMar>
              <w:top w:type="dxa" w:w="80"/>
              <w:left w:type="dxa" w:w="110"/>
              <w:bottom w:type="dxa" w:w="80"/>
              <w:right w:type="dxa" w:w="110"/>
            </w:tcMar>
          </w:tcPr>
          <w:p>
            <w:r>
              <w:rPr>
                <w:sz w:val="18"/>
                <w:szCs w:val="18"/>
              </w:rPr>
              <w:t xml:space="preserve">Schematic designs for technically and economically viable heat recovery projects. Progress beyond schematic up to 100 per cent construction documents is eligible</w:t>
            </w:r>
          </w:p>
        </w:tc>
        <w:tc>
          <w:tcPr>
            <w:tcW w:type="dxa" w:w="1900"/>
            <w:tcMar>
              <w:top w:type="dxa" w:w="80"/>
              <w:left w:type="dxa" w:w="110"/>
              <w:bottom w:type="dxa" w:w="80"/>
              <w:right w:type="dxa" w:w="110"/>
            </w:tcMar>
          </w:tcPr>
          <w:p>
            <w:r>
              <w:rPr>
                <w:sz w:val="18"/>
                <w:szCs w:val="18"/>
              </w:rPr>
              <w:t xml:space="preserve">80,000 USD</w:t>
            </w:r>
          </w:p>
        </w:tc>
        <w:tc>
          <w:tcPr>
            <w:tcW w:type="dxa" w:w="1800"/>
            <w:tcMar>
              <w:top w:type="dxa" w:w="80"/>
              <w:left w:type="dxa" w:w="110"/>
              <w:bottom w:type="dxa" w:w="80"/>
              <w:right w:type="dxa" w:w="110"/>
            </w:tcMar>
          </w:tcPr>
          <w:p>
            <w:r>
              <w:rPr>
                <w:sz w:val="18"/>
                <w:szCs w:val="18"/>
              </w:rPr>
              <w:t xml:space="preserve">75 per cent</w:t>
            </w:r>
          </w:p>
        </w:tc>
      </w:tr>
      <w:tr>
        <w:trPr>
          <w:tblHeader w:val="false"/>
        </w:trPr>
        <w:tc>
          <w:tcPr>
            <w:tcW w:type="dxa" w:w="2100"/>
            <w:tcMar>
              <w:top w:type="dxa" w:w="80"/>
              <w:left w:type="dxa" w:w="110"/>
              <w:bottom w:type="dxa" w:w="80"/>
              <w:right w:type="dxa" w:w="110"/>
            </w:tcMar>
          </w:tcPr>
          <w:p>
            <w:r>
              <w:rPr>
                <w:sz w:val="18"/>
                <w:szCs w:val="18"/>
              </w:rPr>
              <w:t xml:space="preserve">3. Demonstration</w:t>
            </w:r>
          </w:p>
        </w:tc>
        <w:tc>
          <w:tcPr>
            <w:tcW w:type="dxa" w:w="3560"/>
            <w:tcMar>
              <w:top w:type="dxa" w:w="80"/>
              <w:left w:type="dxa" w:w="110"/>
              <w:bottom w:type="dxa" w:w="80"/>
              <w:right w:type="dxa" w:w="110"/>
            </w:tcMar>
          </w:tcPr>
          <w:p>
            <w:r>
              <w:rPr>
                <w:sz w:val="18"/>
                <w:szCs w:val="18"/>
              </w:rPr>
              <w:t xml:space="preserve">Implement heat recovery projects in four named types: data centers, high temperature heat pumps, packaged exhaust heat recovery, thermal storage</w:t>
            </w:r>
          </w:p>
        </w:tc>
        <w:tc>
          <w:tcPr>
            <w:tcW w:type="dxa" w:w="1900"/>
            <w:tcMar>
              <w:top w:type="dxa" w:w="80"/>
              <w:left w:type="dxa" w:w="110"/>
              <w:bottom w:type="dxa" w:w="80"/>
              <w:right w:type="dxa" w:w="110"/>
            </w:tcMar>
          </w:tcPr>
          <w:p>
            <w:r>
              <w:rPr>
                <w:sz w:val="18"/>
                <w:szCs w:val="18"/>
              </w:rPr>
              <w:t xml:space="preserve">2,000,000 USD</w:t>
            </w:r>
          </w:p>
        </w:tc>
        <w:tc>
          <w:tcPr>
            <w:tcW w:type="dxa" w:w="1800"/>
            <w:tcMar>
              <w:top w:type="dxa" w:w="80"/>
              <w:left w:type="dxa" w:w="110"/>
              <w:bottom w:type="dxa" w:w="80"/>
              <w:right w:type="dxa" w:w="110"/>
            </w:tcMar>
          </w:tcPr>
          <w:p>
            <w:r>
              <w:rPr>
                <w:sz w:val="18"/>
                <w:szCs w:val="18"/>
              </w:rPr>
              <w:t xml:space="preserve">Competitive, cost share required</w:t>
            </w:r>
          </w:p>
        </w:tc>
      </w:tr>
      <w:tr>
        <w:trPr>
          <w:tblHeader w:val="false"/>
        </w:trPr>
        <w:tc>
          <w:tcPr>
            <w:tcW w:type="dxa" w:w="2100"/>
            <w:tcMar>
              <w:top w:type="dxa" w:w="80"/>
              <w:left w:type="dxa" w:w="110"/>
              <w:bottom w:type="dxa" w:w="80"/>
              <w:right w:type="dxa" w:w="110"/>
            </w:tcMar>
          </w:tcPr>
          <w:p>
            <w:r>
              <w:rPr>
                <w:sz w:val="18"/>
                <w:szCs w:val="18"/>
              </w:rPr>
              <w:t xml:space="preserve">4. Manufacturer Growth Initiative</w:t>
            </w:r>
          </w:p>
        </w:tc>
        <w:tc>
          <w:tcPr>
            <w:tcW w:type="dxa" w:w="3560"/>
            <w:tcMar>
              <w:top w:type="dxa" w:w="80"/>
              <w:left w:type="dxa" w:w="110"/>
              <w:bottom w:type="dxa" w:w="80"/>
              <w:right w:type="dxa" w:w="110"/>
            </w:tcMar>
          </w:tcPr>
          <w:p>
            <w:r>
              <w:rPr>
                <w:sz w:val="18"/>
                <w:szCs w:val="18"/>
              </w:rPr>
              <w:t xml:space="preserve">Business development support for solution providers qualified through RFQL 5217</w:t>
            </w:r>
          </w:p>
        </w:tc>
        <w:tc>
          <w:tcPr>
            <w:tcW w:type="dxa" w:w="1900"/>
            <w:tcMar>
              <w:top w:type="dxa" w:w="80"/>
              <w:left w:type="dxa" w:w="110"/>
              <w:bottom w:type="dxa" w:w="80"/>
              <w:right w:type="dxa" w:w="110"/>
            </w:tcMar>
          </w:tcPr>
          <w:p>
            <w:r>
              <w:rPr>
                <w:sz w:val="18"/>
                <w:szCs w:val="18"/>
              </w:rPr>
              <w:t xml:space="preserve">100,000 USD</w:t>
            </w:r>
          </w:p>
        </w:tc>
        <w:tc>
          <w:tcPr>
            <w:tcW w:type="dxa" w:w="1800"/>
            <w:tcMar>
              <w:top w:type="dxa" w:w="80"/>
              <w:left w:type="dxa" w:w="110"/>
              <w:bottom w:type="dxa" w:w="80"/>
              <w:right w:type="dxa" w:w="110"/>
            </w:tcMar>
          </w:tcPr>
          <w:p>
            <w:r>
              <w:rPr>
                <w:sz w:val="18"/>
                <w:szCs w:val="18"/>
              </w:rPr>
              <w:t xml:space="preserve">Cost share</w:t>
            </w:r>
          </w:p>
        </w:tc>
      </w:tr>
    </w:tbl>
    <w:p>
      <w:pPr>
        <w:spacing w:after="200" w:before="80"/>
      </w:pPr>
      <w:r>
        <w:rPr>
          <w:i/>
          <w:iCs/>
          <w:color w:val="666666"/>
          <w:sz w:val="17"/>
          <w:szCs w:val="17"/>
        </w:rPr>
        <w:t xml:space="preserve">Source: NYSERDA heat recovery fact sheet; Heat Recovery Program Updates February 2025 deck; PON 5547 webinar question and answer guides.</w:t>
      </w:r>
    </w:p>
    <w:p>
      <w:pPr>
        <w:pStyle w:val="Heading2"/>
        <w:spacing w:after="120" w:before="260"/>
      </w:pPr>
      <w:r>
        <w:rPr>
          <w:b/>
          <w:bCs/>
          <w:color w:val="B02020"/>
          <w:sz w:val="24"/>
          <w:szCs w:val="24"/>
        </w:rPr>
        <w:t xml:space="preserve">4.3 Data center eligibility under Category 3</w:t>
      </w:r>
    </w:p>
    <w:p>
      <w:pPr>
        <w:spacing w:after="140"/>
      </w:pPr>
      <w:r>
        <w:rPr>
          <w:sz w:val="21"/>
          <w:szCs w:val="21"/>
        </w:rPr>
        <w:t xml:space="preserve">Category 3 named data centers as one of four eligible demonstration types. The eligibility language was specific and is worth holding exactly:</w:t>
      </w:r>
    </w:p>
    <w:p>
      <w:pPr>
        <w:pStyle w:val="ListParagraph"/>
        <w:numPr>
          <w:ilvl w:val="0"/>
          <w:numId w:val="2"/>
        </w:numPr>
        <w:spacing w:after="90"/>
      </w:pPr>
      <w:r>
        <w:rPr>
          <w:sz w:val="21"/>
          <w:szCs w:val="21"/>
        </w:rPr>
        <w:t xml:space="preserve">The project must be a solution that recovers and reuses waste heat from data center operations, resulting in lower utility energy demands, such as using heat exchange systems or novel waste heat to power conversion methods.</w:t>
      </w:r>
    </w:p>
    <w:p>
      <w:pPr>
        <w:pStyle w:val="ListParagraph"/>
        <w:numPr>
          <w:ilvl w:val="0"/>
          <w:numId w:val="2"/>
        </w:numPr>
        <w:spacing w:after="90"/>
      </w:pPr>
      <w:r>
        <w:rPr>
          <w:sz w:val="21"/>
          <w:szCs w:val="21"/>
        </w:rPr>
        <w:t xml:space="preserve">For a data center that forms part of a larger building, the recovered waste heat can be used by other parts of that building.</w:t>
      </w:r>
    </w:p>
    <w:p>
      <w:pPr>
        <w:pStyle w:val="ListParagraph"/>
        <w:numPr>
          <w:ilvl w:val="0"/>
          <w:numId w:val="2"/>
        </w:numPr>
        <w:spacing w:after="90"/>
      </w:pPr>
      <w:r>
        <w:rPr>
          <w:sz w:val="21"/>
          <w:szCs w:val="21"/>
        </w:rPr>
        <w:t xml:space="preserve">For a dedicated data center, an adjacent building has to be the recipient of the waste heat, offsetting utility purchased energy.</w:t>
      </w:r>
    </w:p>
    <w:p>
      <w:pPr>
        <w:pStyle w:val="ListParagraph"/>
        <w:numPr>
          <w:ilvl w:val="0"/>
          <w:numId w:val="2"/>
        </w:numPr>
        <w:spacing w:after="90"/>
      </w:pPr>
      <w:r>
        <w:rPr>
          <w:sz w:val="21"/>
          <w:szCs w:val="21"/>
        </w:rPr>
        <w:t xml:space="preserve">Projects already underway are not eligible.</w:t>
      </w:r>
    </w:p>
    <w:p>
      <w:pPr>
        <w:spacing w:after="140"/>
      </w:pPr>
      <w:r>
        <w:rPr>
          <w:sz w:val="21"/>
          <w:szCs w:val="21"/>
        </w:rPr>
        <w:t xml:space="preserve">Two structural points follow from that wording. The benefit is measured as a reduction in the recipient building’s purchased energy, not as heat delivered. And a standalone facility with no adjacent recipient does not qualify however good its recovery loop is.</w:t>
      </w:r>
    </w:p>
    <w:p>
      <w:pPr>
        <w:spacing w:after="200" w:before="80"/>
      </w:pPr>
      <w:r>
        <w:rPr>
          <w:i/>
          <w:iCs/>
          <w:color w:val="666666"/>
          <w:sz w:val="17"/>
          <w:szCs w:val="17"/>
        </w:rPr>
        <w:t xml:space="preserve">Source: NYSERDA, reported in Data Center Dynamics, 4 September 2024; PON 5547 solicitation records.</w:t>
      </w:r>
    </w:p>
    <w:p>
      <w:pPr>
        <w:pStyle w:val="Heading2"/>
        <w:spacing w:after="120" w:before="260"/>
      </w:pPr>
      <w:r>
        <w:rPr>
          <w:b/>
          <w:bCs/>
          <w:color w:val="B02020"/>
          <w:sz w:val="24"/>
          <w:szCs w:val="24"/>
        </w:rPr>
        <w:t xml:space="preserve">4.4 Eligibility, exclusions and mechanics</w:t>
      </w:r>
    </w:p>
    <w:p>
      <w:pPr>
        <w:pStyle w:val="ListParagraph"/>
        <w:numPr>
          <w:ilvl w:val="0"/>
          <w:numId w:val="2"/>
        </w:numPr>
        <w:spacing w:after="90"/>
      </w:pPr>
      <w:r>
        <w:rPr>
          <w:sz w:val="21"/>
          <w:szCs w:val="21"/>
        </w:rPr>
        <w:t xml:space="preserve">Categories 1 to 3 were open to all existing buildings in New York State excluding single family. Eligible sectors were commercial, multifamily, institutional and industrial, and new construction was excluded.</w:t>
      </w:r>
    </w:p>
    <w:p>
      <w:pPr>
        <w:pStyle w:val="ListParagraph"/>
        <w:numPr>
          <w:ilvl w:val="0"/>
          <w:numId w:val="2"/>
        </w:numPr>
        <w:spacing w:after="90"/>
      </w:pPr>
      <w:r>
        <w:rPr>
          <w:sz w:val="21"/>
          <w:szCs w:val="21"/>
        </w:rPr>
        <w:t xml:space="preserve">Project teams had to include a building owner and an engineering consultant.</w:t>
      </w:r>
    </w:p>
    <w:p>
      <w:pPr>
        <w:pStyle w:val="ListParagraph"/>
        <w:numPr>
          <w:ilvl w:val="0"/>
          <w:numId w:val="2"/>
        </w:numPr>
        <w:spacing w:after="90"/>
      </w:pPr>
      <w:r>
        <w:rPr>
          <w:sz w:val="21"/>
          <w:szCs w:val="21"/>
        </w:rPr>
        <w:t xml:space="preserve">At launch the program served customers contributing to the System Benefits Charge. The February 2025 update opened Category 1 to both System Benefits Charge and non System Benefits Charge customers.</w:t>
      </w:r>
    </w:p>
    <w:p>
      <w:pPr>
        <w:pStyle w:val="ListParagraph"/>
        <w:numPr>
          <w:ilvl w:val="0"/>
          <w:numId w:val="2"/>
        </w:numPr>
        <w:spacing w:after="90"/>
      </w:pPr>
      <w:r>
        <w:rPr>
          <w:sz w:val="21"/>
          <w:szCs w:val="21"/>
        </w:rPr>
        <w:t xml:space="preserve">Low to moderate income multifamily housing was eligible for up to 100 per cent cost share, and 3 million USD of the original 12 million USD was dedicated exclusively to that segment.</w:t>
      </w:r>
    </w:p>
    <w:p>
      <w:pPr>
        <w:pStyle w:val="ListParagraph"/>
        <w:numPr>
          <w:ilvl w:val="0"/>
          <w:numId w:val="2"/>
        </w:numPr>
        <w:spacing w:after="90"/>
      </w:pPr>
      <w:r>
        <w:rPr>
          <w:sz w:val="21"/>
          <w:szCs w:val="21"/>
        </w:rPr>
        <w:t xml:space="preserve">Category 4 was restricted to solution providers already qualified through RFQL 5217.</w:t>
      </w:r>
    </w:p>
    <w:p>
      <w:pPr>
        <w:spacing w:after="80" w:before="160"/>
      </w:pPr>
      <w:r>
        <w:rPr>
          <w:b/>
          <w:bCs/>
          <w:sz w:val="21"/>
          <w:szCs w:val="21"/>
        </w:rPr>
        <w:t xml:space="preserve">Mechanics worth knowing</w:t>
      </w:r>
    </w:p>
    <w:p>
      <w:pPr>
        <w:pStyle w:val="ListParagraph"/>
        <w:numPr>
          <w:ilvl w:val="0"/>
          <w:numId w:val="2"/>
        </w:numPr>
        <w:spacing w:after="90"/>
      </w:pPr>
      <w:r>
        <w:rPr>
          <w:sz w:val="21"/>
          <w:szCs w:val="21"/>
        </w:rPr>
        <w:t xml:space="preserve">Work completed before the application was submitted was not eligible for reimbursement.</w:t>
      </w:r>
    </w:p>
    <w:p>
      <w:pPr>
        <w:pStyle w:val="ListParagraph"/>
        <w:numPr>
          <w:ilvl w:val="0"/>
          <w:numId w:val="2"/>
        </w:numPr>
        <w:spacing w:after="90"/>
      </w:pPr>
      <w:r>
        <w:rPr>
          <w:sz w:val="21"/>
          <w:szCs w:val="21"/>
        </w:rPr>
        <w:t xml:space="preserve">The applicant could be the customer, the consultant, or another member of the project team. Reimbursement ran through the program to the applicant.</w:t>
      </w:r>
    </w:p>
    <w:p>
      <w:pPr>
        <w:pStyle w:val="ListParagraph"/>
        <w:numPr>
          <w:ilvl w:val="0"/>
          <w:numId w:val="2"/>
        </w:numPr>
        <w:spacing w:after="90"/>
      </w:pPr>
      <w:r>
        <w:rPr>
          <w:sz w:val="21"/>
          <w:szCs w:val="21"/>
        </w:rPr>
        <w:t xml:space="preserve">No specific consultant list was mandated. NYSERDA pointed project teams needing a consultant to the FlexTech consultant list.</w:t>
      </w:r>
    </w:p>
    <w:p>
      <w:pPr>
        <w:pStyle w:val="ListParagraph"/>
        <w:numPr>
          <w:ilvl w:val="0"/>
          <w:numId w:val="2"/>
        </w:numPr>
        <w:spacing w:after="90"/>
      </w:pPr>
      <w:r>
        <w:rPr>
          <w:sz w:val="21"/>
          <w:szCs w:val="21"/>
        </w:rPr>
        <w:t xml:space="preserve">Category 3 proposals were not accepted on a rolling basis. All proposals in a round were reviewed together after the due date.</w:t>
      </w:r>
    </w:p>
    <w:p>
      <w:pPr>
        <w:pStyle w:val="ListParagraph"/>
        <w:numPr>
          <w:ilvl w:val="0"/>
          <w:numId w:val="2"/>
        </w:numPr>
        <w:spacing w:after="90"/>
      </w:pPr>
      <w:r>
        <w:rPr>
          <w:sz w:val="21"/>
          <w:szCs w:val="21"/>
        </w:rPr>
        <w:t xml:space="preserve">Non stackability: projects that have received or plan to receive incentives from other Clean Energy Fund programs or utility administered incentives are not eligible to receive Heat Recovery Program funding for the same measures and activities.</w:t>
      </w:r>
    </w:p>
    <w:p>
      <w:pPr>
        <w:spacing w:after="200" w:before="80"/>
      </w:pPr>
      <w:r>
        <w:rPr>
          <w:i/>
          <w:iCs/>
          <w:color w:val="666666"/>
          <w:sz w:val="17"/>
          <w:szCs w:val="17"/>
        </w:rPr>
        <w:t xml:space="preserve">Source: PON 5547 informational webinar question and answer guides, November 2023, August 2024 and February 2025; NYSERDA 2023 announcement.</w:t>
      </w:r>
    </w:p>
    <w:p>
      <w:pPr>
        <w:pStyle w:val="Heading2"/>
        <w:spacing w:after="120" w:before="260"/>
      </w:pPr>
      <w:r>
        <w:rPr>
          <w:b/>
          <w:bCs/>
          <w:color w:val="B02020"/>
          <w:sz w:val="24"/>
          <w:szCs w:val="24"/>
        </w:rPr>
        <w:t xml:space="preserve">4.5 Deadlines on record</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3120"/>
        <w:gridCol w:w="3120"/>
        <w:gridCol w:w="3120"/>
      </w:tblGrid>
      <w:tr>
        <w:trPr>
          <w:tblHeader/>
        </w:trPr>
        <w:tc>
          <w:tcPr>
            <w:tcW w:type="dxa" w:w="3120"/>
            <w:shd w:fill="F2F2F2" w:color="auto" w:val="clear"/>
            <w:tcMar>
              <w:top w:type="dxa" w:w="80"/>
              <w:left w:type="dxa" w:w="110"/>
              <w:bottom w:type="dxa" w:w="80"/>
              <w:right w:type="dxa" w:w="110"/>
            </w:tcMar>
          </w:tcPr>
          <w:p>
            <w:r>
              <w:rPr>
                <w:b/>
                <w:bCs/>
                <w:sz w:val="18"/>
                <w:szCs w:val="18"/>
              </w:rPr>
              <w:t xml:space="preserve">Category</w:t>
            </w:r>
          </w:p>
        </w:tc>
        <w:tc>
          <w:tcPr>
            <w:tcW w:type="dxa" w:w="3120"/>
            <w:shd w:fill="F2F2F2" w:color="auto" w:val="clear"/>
            <w:tcMar>
              <w:top w:type="dxa" w:w="80"/>
              <w:left w:type="dxa" w:w="110"/>
              <w:bottom w:type="dxa" w:w="80"/>
              <w:right w:type="dxa" w:w="110"/>
            </w:tcMar>
          </w:tcPr>
          <w:p>
            <w:r>
              <w:rPr>
                <w:b/>
                <w:bCs/>
                <w:sz w:val="18"/>
                <w:szCs w:val="18"/>
              </w:rPr>
              <w:t xml:space="preserve">Deadline</w:t>
            </w:r>
          </w:p>
        </w:tc>
        <w:tc>
          <w:tcPr>
            <w:tcW w:type="dxa" w:w="3120"/>
            <w:shd w:fill="F2F2F2" w:color="auto" w:val="clear"/>
            <w:tcMar>
              <w:top w:type="dxa" w:w="80"/>
              <w:left w:type="dxa" w:w="110"/>
              <w:bottom w:type="dxa" w:w="80"/>
              <w:right w:type="dxa" w:w="110"/>
            </w:tcMar>
          </w:tcPr>
          <w:p>
            <w:r>
              <w:rPr>
                <w:b/>
                <w:bCs/>
                <w:sz w:val="18"/>
                <w:szCs w:val="18"/>
              </w:rPr>
              <w:t xml:space="preserve">Mechanism</w:t>
            </w:r>
          </w:p>
        </w:tc>
      </w:tr>
      <w:tr>
        <w:trPr>
          <w:tblHeader w:val="false"/>
        </w:trPr>
        <w:tc>
          <w:tcPr>
            <w:tcW w:type="dxa" w:w="3120"/>
            <w:tcMar>
              <w:top w:type="dxa" w:w="80"/>
              <w:left w:type="dxa" w:w="110"/>
              <w:bottom w:type="dxa" w:w="80"/>
              <w:right w:type="dxa" w:w="110"/>
            </w:tcMar>
          </w:tcPr>
          <w:p>
            <w:r>
              <w:rPr>
                <w:sz w:val="18"/>
                <w:szCs w:val="18"/>
              </w:rPr>
              <w:t xml:space="preserve">Categories 1, 2 and 4</w:t>
            </w:r>
          </w:p>
        </w:tc>
        <w:tc>
          <w:tcPr>
            <w:tcW w:type="dxa" w:w="3120"/>
            <w:tcMar>
              <w:top w:type="dxa" w:w="80"/>
              <w:left w:type="dxa" w:w="110"/>
              <w:bottom w:type="dxa" w:w="80"/>
              <w:right w:type="dxa" w:w="110"/>
            </w:tcMar>
          </w:tcPr>
          <w:p>
            <w:r>
              <w:rPr>
                <w:sz w:val="18"/>
                <w:szCs w:val="18"/>
              </w:rPr>
              <w:t xml:space="preserve">17 November 2025, 3pm ET</w:t>
            </w:r>
          </w:p>
        </w:tc>
        <w:tc>
          <w:tcPr>
            <w:tcW w:type="dxa" w:w="3120"/>
            <w:tcMar>
              <w:top w:type="dxa" w:w="80"/>
              <w:left w:type="dxa" w:w="110"/>
              <w:bottom w:type="dxa" w:w="80"/>
              <w:right w:type="dxa" w:w="110"/>
            </w:tcMar>
          </w:tcPr>
          <w:p>
            <w:r>
              <w:rPr>
                <w:sz w:val="18"/>
                <w:szCs w:val="18"/>
              </w:rPr>
              <w:t xml:space="preserve">Open enrollment, first come first served</w:t>
            </w:r>
          </w:p>
        </w:tc>
      </w:tr>
      <w:tr>
        <w:trPr>
          <w:tblHeader w:val="false"/>
        </w:trPr>
        <w:tc>
          <w:tcPr>
            <w:tcW w:type="dxa" w:w="3120"/>
            <w:tcMar>
              <w:top w:type="dxa" w:w="80"/>
              <w:left w:type="dxa" w:w="110"/>
              <w:bottom w:type="dxa" w:w="80"/>
              <w:right w:type="dxa" w:w="110"/>
            </w:tcMar>
          </w:tcPr>
          <w:p>
            <w:r>
              <w:rPr>
                <w:sz w:val="18"/>
                <w:szCs w:val="18"/>
              </w:rPr>
              <w:t xml:space="preserve">Category 3, an early round</w:t>
            </w:r>
          </w:p>
        </w:tc>
        <w:tc>
          <w:tcPr>
            <w:tcW w:type="dxa" w:w="3120"/>
            <w:tcMar>
              <w:top w:type="dxa" w:w="80"/>
              <w:left w:type="dxa" w:w="110"/>
              <w:bottom w:type="dxa" w:w="80"/>
              <w:right w:type="dxa" w:w="110"/>
            </w:tcMar>
          </w:tcPr>
          <w:p>
            <w:r>
              <w:rPr>
                <w:sz w:val="18"/>
                <w:szCs w:val="18"/>
              </w:rPr>
              <w:t xml:space="preserve">7 November 2024</w:t>
            </w:r>
          </w:p>
        </w:tc>
        <w:tc>
          <w:tcPr>
            <w:tcW w:type="dxa" w:w="3120"/>
            <w:tcMar>
              <w:top w:type="dxa" w:w="80"/>
              <w:left w:type="dxa" w:w="110"/>
              <w:bottom w:type="dxa" w:w="80"/>
              <w:right w:type="dxa" w:w="110"/>
            </w:tcMar>
          </w:tcPr>
          <w:p>
            <w:r>
              <w:rPr>
                <w:sz w:val="18"/>
                <w:szCs w:val="18"/>
              </w:rPr>
              <w:t xml:space="preserve">Competitive round</w:t>
            </w:r>
          </w:p>
        </w:tc>
      </w:tr>
      <w:tr>
        <w:trPr>
          <w:tblHeader w:val="false"/>
        </w:trPr>
        <w:tc>
          <w:tcPr>
            <w:tcW w:type="dxa" w:w="3120"/>
            <w:tcMar>
              <w:top w:type="dxa" w:w="80"/>
              <w:left w:type="dxa" w:w="110"/>
              <w:bottom w:type="dxa" w:w="80"/>
              <w:right w:type="dxa" w:w="110"/>
            </w:tcMar>
          </w:tcPr>
          <w:p>
            <w:r>
              <w:rPr>
                <w:sz w:val="18"/>
                <w:szCs w:val="18"/>
              </w:rPr>
              <w:t xml:space="preserve">Category 3, Round 2</w:t>
            </w:r>
          </w:p>
        </w:tc>
        <w:tc>
          <w:tcPr>
            <w:tcW w:type="dxa" w:w="3120"/>
            <w:tcMar>
              <w:top w:type="dxa" w:w="80"/>
              <w:left w:type="dxa" w:w="110"/>
              <w:bottom w:type="dxa" w:w="80"/>
              <w:right w:type="dxa" w:w="110"/>
            </w:tcMar>
          </w:tcPr>
          <w:p>
            <w:r>
              <w:rPr>
                <w:sz w:val="18"/>
                <w:szCs w:val="18"/>
              </w:rPr>
              <w:t xml:space="preserve">3 June 2025</w:t>
            </w:r>
          </w:p>
        </w:tc>
        <w:tc>
          <w:tcPr>
            <w:tcW w:type="dxa" w:w="3120"/>
            <w:tcMar>
              <w:top w:type="dxa" w:w="80"/>
              <w:left w:type="dxa" w:w="110"/>
              <w:bottom w:type="dxa" w:w="80"/>
              <w:right w:type="dxa" w:w="110"/>
            </w:tcMar>
          </w:tcPr>
          <w:p>
            <w:r>
              <w:rPr>
                <w:sz w:val="18"/>
                <w:szCs w:val="18"/>
              </w:rPr>
              <w:t xml:space="preserve">Competitive round, reviewed together after close</w:t>
            </w:r>
          </w:p>
        </w:tc>
      </w:tr>
    </w:tbl>
    <w:p>
      <w:pPr>
        <w:spacing w:after="140"/>
      </w:pPr>
      <w:r>
        <w:rPr>
          <w:sz w:val="21"/>
          <w:szCs w:val="21"/>
        </w:rPr>
        <w:t xml:space="preserve">A third party account of Round 2, published by the Capital Region Chamber in March 2025, adds that studies and engineering would be funded through November while program funds lasted, without guarantee of future capital funding, and that Round 2 came with updated eligibility criteria, incentive levels and streamlined application procedures. That is a chamber of commerce summary rather than a NYSERDA statement and should be treated as indicative.</w:t>
      </w:r>
    </w:p>
    <w:p>
      <w:pPr>
        <w:spacing w:after="200" w:before="80"/>
      </w:pPr>
      <w:r>
        <w:rPr>
          <w:i/>
          <w:iCs/>
          <w:color w:val="666666"/>
          <w:sz w:val="17"/>
          <w:szCs w:val="17"/>
        </w:rPr>
        <w:t xml:space="preserve">Source: PON 5547 webinar decks and question and answer guides; capitalregionchamber.com, March 2025.</w:t>
      </w:r>
    </w:p>
    <w:p>
      <w:pPr>
        <w:pStyle w:val="Heading2"/>
        <w:spacing w:after="120" w:before="260"/>
      </w:pPr>
      <w:r>
        <w:rPr>
          <w:b/>
          <w:bCs/>
          <w:color w:val="B02020"/>
          <w:sz w:val="24"/>
          <w:szCs w:val="24"/>
        </w:rPr>
        <w:t xml:space="preserve">4.6 Current position</w:t>
      </w:r>
    </w:p>
    <w:p>
      <w:pPr>
        <w:spacing w:after="140"/>
      </w:pPr>
      <w:r>
        <w:rPr>
          <w:sz w:val="21"/>
          <w:szCs w:val="21"/>
        </w:rPr>
        <w:t xml:space="preserve">The live Heat Recovery Program page carries no funding categories, no application route and no Heat Recovery Project Development subpage. What remains on it is the analysis tools, the qualified manufacturer list, case study videos, and a webinar and publication archive whose most recent entry is a NY-GEO panel on waste heat recovery and thermal storage held 25 March 2026. On that evidence the funding is closed and the program continues as a market building and qualification exercise.</w:t>
      </w:r>
    </w:p>
    <w:p>
      <w:pPr>
        <w:spacing w:after="200" w:before="80"/>
      </w:pPr>
      <w:r>
        <w:rPr>
          <w:i/>
          <w:iCs/>
          <w:color w:val="666666"/>
          <w:sz w:val="17"/>
          <w:szCs w:val="17"/>
        </w:rPr>
        <w:t xml:space="preserve">Source: nyserda.ny.gov/All-Programs/Heat-Recovery-Program, read 30 July 2026.</w:t>
      </w:r>
    </w:p>
    <w:p>
      <w:r>
        <w:br w:type="page"/>
      </w:r>
    </w:p>
    <w:p>
      <w:pPr>
        <w:pStyle w:val="Heading1"/>
        <w:spacing w:after="160" w:before="360"/>
      </w:pPr>
      <w:r>
        <w:rPr>
          <w:b/>
          <w:bCs/>
          <w:color w:val="222222"/>
          <w:sz w:val="30"/>
          <w:szCs w:val="30"/>
        </w:rPr>
        <w:t xml:space="preserve">5. Heat Recovery Solutions (RFQL 5217)</w:t>
      </w:r>
    </w:p>
    <w:p>
      <w:pPr>
        <w:spacing w:after="140"/>
      </w:pPr>
      <w:r>
        <w:rPr>
          <w:sz w:val="21"/>
          <w:szCs w:val="21"/>
        </w:rPr>
        <w:t xml:space="preserve">This is a qualification, not a grant, and it is the one live door into the Heat Recovery Program.</w:t>
      </w:r>
    </w:p>
    <w:p>
      <w:pPr>
        <w:spacing w:after="140"/>
      </w:pPr>
      <w:r>
        <w:rPr>
          <w:sz w:val="21"/>
          <w:szCs w:val="21"/>
        </w:rPr>
        <w:t xml:space="preserve">Through RFQL 5217 NYSERDA recruited and selected qualified manufacturers of heat recovery solutions, to support adoption by New York State real estate decision makers, architects, engineers and construction professionals working on building retrofits. The qualified providers and their products are published on the Heat Recovery Solutions page.</w:t>
      </w:r>
    </w:p>
    <w:p>
      <w:pPr>
        <w:spacing w:after="80" w:before="160"/>
      </w:pPr>
      <w:r>
        <w:rPr>
          <w:b/>
          <w:bCs/>
          <w:sz w:val="21"/>
          <w:szCs w:val="21"/>
        </w:rPr>
        <w:t xml:space="preserve">What qualification gives</w:t>
      </w:r>
    </w:p>
    <w:p>
      <w:pPr>
        <w:pStyle w:val="ListParagraph"/>
        <w:numPr>
          <w:ilvl w:val="0"/>
          <w:numId w:val="2"/>
        </w:numPr>
        <w:spacing w:after="90"/>
      </w:pPr>
      <w:r>
        <w:rPr>
          <w:sz w:val="21"/>
          <w:szCs w:val="21"/>
        </w:rPr>
        <w:t xml:space="preserve">Access to the New York State building retrofit market through a published, NYSERDA vetted list.</w:t>
      </w:r>
    </w:p>
    <w:p>
      <w:pPr>
        <w:pStyle w:val="ListParagraph"/>
        <w:numPr>
          <w:ilvl w:val="0"/>
          <w:numId w:val="2"/>
        </w:numPr>
        <w:spacing w:after="90"/>
      </w:pPr>
      <w:r>
        <w:rPr>
          <w:sz w:val="21"/>
          <w:szCs w:val="21"/>
        </w:rPr>
        <w:t xml:space="preserve">Support for heat recovery knowledge and technology transfer.</w:t>
      </w:r>
    </w:p>
    <w:p>
      <w:pPr>
        <w:pStyle w:val="ListParagraph"/>
        <w:numPr>
          <w:ilvl w:val="0"/>
          <w:numId w:val="2"/>
        </w:numPr>
        <w:spacing w:after="90"/>
      </w:pPr>
      <w:r>
        <w:rPr>
          <w:sz w:val="21"/>
          <w:szCs w:val="21"/>
        </w:rPr>
        <w:t xml:space="preserve">Participation in exchanges with key market stakeholders, including the roundtable series.</w:t>
      </w:r>
    </w:p>
    <w:p>
      <w:pPr>
        <w:pStyle w:val="ListParagraph"/>
        <w:numPr>
          <w:ilvl w:val="0"/>
          <w:numId w:val="2"/>
        </w:numPr>
        <w:spacing w:after="90"/>
      </w:pPr>
      <w:r>
        <w:rPr>
          <w:sz w:val="21"/>
          <w:szCs w:val="21"/>
        </w:rPr>
        <w:t xml:space="preserve">Eligibility for Category 4 business development support, when that category is open.</w:t>
      </w:r>
    </w:p>
    <w:p>
      <w:pPr>
        <w:spacing w:after="80" w:before="160"/>
      </w:pPr>
      <w:r>
        <w:rPr>
          <w:b/>
          <w:bCs/>
          <w:sz w:val="21"/>
          <w:szCs w:val="21"/>
        </w:rPr>
        <w:t xml:space="preserve">Selection basis</w:t>
      </w:r>
    </w:p>
    <w:p>
      <w:pPr>
        <w:spacing w:after="140"/>
      </w:pPr>
      <w:r>
        <w:rPr>
          <w:sz w:val="21"/>
          <w:szCs w:val="21"/>
        </w:rPr>
        <w:t xml:space="preserve">NYSERDA evaluated and selected solutions and manufacturers on stated criteria, the first of which is heat recovery effectiveness. The qualification is framed around technologies that make heat recovery more practical and economical and thereby enable new heat recovery opportunities in existing New York State buildings.</w:t>
      </w:r>
    </w:p>
    <w:p>
      <w:pPr>
        <w:spacing w:after="200" w:before="80"/>
      </w:pPr>
      <w:r>
        <w:rPr>
          <w:i/>
          <w:iCs/>
          <w:color w:val="666666"/>
          <w:sz w:val="17"/>
          <w:szCs w:val="17"/>
        </w:rPr>
        <w:t xml:space="preserve">Source: nyserda.ny.gov Heat Recovery Solutions page; Heat Recovery Roundtable deck, 31 January 2024.</w:t>
      </w:r>
    </w:p>
    <w:p>
      <w:pPr>
        <w:pBdr>
          <w:bottom w:val="single" w:color="CCCCCC" w:sz="6" w:space="1"/>
        </w:pBdr>
        <w:spacing w:after="200" w:before="120"/>
      </w:pPr>
      <w:r>
        <w:rPr>
          <w:sz w:val="2"/>
          <w:szCs w:val="2"/>
        </w:rPr>
        <w:t xml:space="preserve"/>
      </w:r>
    </w:p>
    <w:p>
      <w:pPr>
        <w:pStyle w:val="Heading1"/>
        <w:spacing w:after="160" w:before="360"/>
      </w:pPr>
      <w:r>
        <w:rPr>
          <w:b/>
          <w:bCs/>
          <w:color w:val="222222"/>
          <w:sz w:val="30"/>
          <w:szCs w:val="30"/>
        </w:rPr>
        <w:t xml:space="preserve">6. Large-Scale Thermal and thermal energy networks</w:t>
      </w:r>
    </w:p>
    <w:p>
      <w:pPr>
        <w:spacing w:after="140"/>
      </w:pPr>
      <w:r>
        <w:rPr>
          <w:sz w:val="21"/>
          <w:szCs w:val="21"/>
        </w:rPr>
        <w:t xml:space="preserve">This is the live program in which waste heat is an explicitly named eligible resource, which makes it the most relevant open thermal route.</w:t>
      </w:r>
    </w:p>
    <w:p>
      <w:pPr>
        <w:pStyle w:val="Heading2"/>
        <w:spacing w:after="120" w:before="260"/>
      </w:pPr>
      <w:r>
        <w:rPr>
          <w:b/>
          <w:bCs/>
          <w:color w:val="B02020"/>
          <w:sz w:val="24"/>
          <w:szCs w:val="24"/>
        </w:rPr>
        <w:t xml:space="preserve">6.1 The program</w:t>
      </w:r>
    </w:p>
    <w:p>
      <w:pPr>
        <w:spacing w:after="140"/>
      </w:pPr>
      <w:r>
        <w:rPr>
          <w:sz w:val="21"/>
          <w:szCs w:val="21"/>
        </w:rPr>
        <w:t xml:space="preserve">Announced on 25 June 2024 with 10 million USD, the Large-Scale Thermal Program competitively awards funding to colleges and universities, multifamily complexes, medical campuses and communities, for projects that use heat pumps and low carbon thermal resources to integrate clean heating and cooling into their buildings.</w:t>
      </w:r>
    </w:p>
    <w:p>
      <w:pPr>
        <w:spacing w:after="80" w:before="160"/>
      </w:pPr>
      <w:r>
        <w:rPr>
          <w:b/>
          <w:bCs/>
          <w:sz w:val="21"/>
          <w:szCs w:val="21"/>
        </w:rPr>
        <w:t xml:space="preserve">Named eligible thermal resources</w:t>
      </w:r>
    </w:p>
    <w:p>
      <w:pPr>
        <w:pStyle w:val="ListParagraph"/>
        <w:numPr>
          <w:ilvl w:val="0"/>
          <w:numId w:val="2"/>
        </w:numPr>
        <w:spacing w:after="90"/>
      </w:pPr>
      <w:r>
        <w:rPr>
          <w:sz w:val="21"/>
          <w:szCs w:val="21"/>
        </w:rPr>
        <w:t xml:space="preserve">Geothermal</w:t>
      </w:r>
    </w:p>
    <w:p>
      <w:pPr>
        <w:pStyle w:val="ListParagraph"/>
        <w:numPr>
          <w:ilvl w:val="0"/>
          <w:numId w:val="2"/>
        </w:numPr>
        <w:spacing w:after="90"/>
      </w:pPr>
      <w:r>
        <w:rPr>
          <w:sz w:val="21"/>
          <w:szCs w:val="21"/>
        </w:rPr>
        <w:t xml:space="preserve">Wastewater</w:t>
      </w:r>
    </w:p>
    <w:p>
      <w:pPr>
        <w:pStyle w:val="ListParagraph"/>
        <w:numPr>
          <w:ilvl w:val="0"/>
          <w:numId w:val="2"/>
        </w:numPr>
        <w:spacing w:after="90"/>
      </w:pPr>
      <w:r>
        <w:rPr>
          <w:sz w:val="21"/>
          <w:szCs w:val="21"/>
        </w:rPr>
        <w:t xml:space="preserve">Waste heat</w:t>
      </w:r>
    </w:p>
    <w:p>
      <w:pPr>
        <w:pStyle w:val="ListParagraph"/>
        <w:numPr>
          <w:ilvl w:val="0"/>
          <w:numId w:val="2"/>
        </w:numPr>
        <w:spacing w:after="90"/>
      </w:pPr>
      <w:r>
        <w:rPr>
          <w:sz w:val="21"/>
          <w:szCs w:val="21"/>
        </w:rPr>
        <w:t xml:space="preserve">Surface water</w:t>
      </w:r>
    </w:p>
    <w:p>
      <w:pPr>
        <w:pStyle w:val="ListParagraph"/>
        <w:numPr>
          <w:ilvl w:val="0"/>
          <w:numId w:val="2"/>
        </w:numPr>
        <w:spacing w:after="90"/>
      </w:pPr>
      <w:r>
        <w:rPr>
          <w:sz w:val="21"/>
          <w:szCs w:val="21"/>
        </w:rPr>
        <w:t xml:space="preserve">Thermal energy storage</w:t>
      </w:r>
    </w:p>
    <w:p>
      <w:pPr>
        <w:spacing w:after="140"/>
      </w:pPr>
      <w:r>
        <w:rPr>
          <w:sz w:val="21"/>
          <w:szCs w:val="21"/>
        </w:rPr>
        <w:t xml:space="preserve">Project sites may consist of a single large building or multiple co located buildings, for example multiple buildings served by a shared thermal system or resource, and may be either existing or new construction. That last point is a meaningful difference from the Heat Recovery Program, which excluded new construction.</w:t>
      </w:r>
    </w:p>
    <w:p>
      <w:pPr>
        <w:spacing w:after="200" w:before="80"/>
      </w:pPr>
      <w:r>
        <w:rPr>
          <w:i/>
          <w:iCs/>
          <w:color w:val="666666"/>
          <w:sz w:val="17"/>
          <w:szCs w:val="17"/>
        </w:rPr>
        <w:t xml:space="preserve">Source: nyserda.ny.gov 2024 announcement, 25 June 2024.</w:t>
      </w:r>
    </w:p>
    <w:p>
      <w:pPr>
        <w:pStyle w:val="Heading2"/>
        <w:spacing w:after="120" w:before="260"/>
      </w:pPr>
      <w:r>
        <w:rPr>
          <w:b/>
          <w:bCs/>
          <w:color w:val="B02020"/>
          <w:sz w:val="24"/>
          <w:szCs w:val="24"/>
        </w:rPr>
        <w:t xml:space="preserve">6.2 Funding route</w:t>
      </w:r>
    </w:p>
    <w:p>
      <w:pPr>
        <w:pStyle w:val="ListParagraph"/>
        <w:numPr>
          <w:ilvl w:val="0"/>
          <w:numId w:val="2"/>
        </w:numPr>
        <w:spacing w:after="90"/>
      </w:pPr>
      <w:r>
        <w:rPr>
          <w:sz w:val="21"/>
          <w:szCs w:val="21"/>
        </w:rPr>
        <w:t xml:space="preserve">Feasibility stage: a cost shared feasibility study through FlexTech, initiated by email to the program team.</w:t>
      </w:r>
    </w:p>
    <w:p>
      <w:pPr>
        <w:pStyle w:val="ListParagraph"/>
        <w:numPr>
          <w:ilvl w:val="0"/>
          <w:numId w:val="2"/>
        </w:numPr>
        <w:spacing w:after="90"/>
      </w:pPr>
      <w:r>
        <w:rPr>
          <w:sz w:val="21"/>
          <w:szCs w:val="21"/>
        </w:rPr>
        <w:t xml:space="preserve">Design stage: if the feasibility study finds large scale thermal is a good fit, a proposal for design funding through PON 5614.</w:t>
      </w:r>
    </w:p>
    <w:p>
      <w:pPr>
        <w:pStyle w:val="ListParagraph"/>
        <w:numPr>
          <w:ilvl w:val="0"/>
          <w:numId w:val="2"/>
        </w:numPr>
        <w:spacing w:after="90"/>
      </w:pPr>
      <w:r>
        <w:rPr>
          <w:sz w:val="21"/>
          <w:szCs w:val="21"/>
        </w:rPr>
        <w:t xml:space="preserve">A pre bid webinar was held on 11 July describing the opportunities and how to submit proposals. An informational webinar on 19 March announced a Round 3 and described program requirements.</w:t>
      </w:r>
    </w:p>
    <w:p>
      <w:pPr>
        <w:pStyle w:val="ListParagraph"/>
        <w:numPr>
          <w:ilvl w:val="0"/>
          <w:numId w:val="2"/>
        </w:numPr>
        <w:spacing w:after="90"/>
      </w:pPr>
      <w:r>
        <w:rPr>
          <w:sz w:val="21"/>
          <w:szCs w:val="21"/>
        </w:rPr>
        <w:t xml:space="preserve">NYSERDA has funded large scale thermal feasibility studies at more than fifty project sites across New York State, and publishes a solution provider list for the sector. Engaging a listed company is not required.</w:t>
      </w:r>
    </w:p>
    <w:p>
      <w:pPr>
        <w:spacing w:after="200" w:before="80"/>
      </w:pPr>
      <w:r>
        <w:rPr>
          <w:i/>
          <w:iCs/>
          <w:color w:val="666666"/>
          <w:sz w:val="17"/>
          <w:szCs w:val="17"/>
        </w:rPr>
        <w:t xml:space="preserve">Source: nyserda.ny.gov Large-Scale Thermal Program and Access Services and Funding pages.</w:t>
      </w:r>
    </w:p>
    <w:p>
      <w:pPr>
        <w:pStyle w:val="Heading2"/>
        <w:spacing w:after="120" w:before="260"/>
      </w:pPr>
      <w:r>
        <w:rPr>
          <w:b/>
          <w:bCs/>
          <w:color w:val="B02020"/>
          <w:sz w:val="24"/>
          <w:szCs w:val="24"/>
        </w:rPr>
        <w:t xml:space="preserve">6.3 Terminology and the anchor offtaker model</w:t>
      </w:r>
    </w:p>
    <w:p>
      <w:pPr>
        <w:spacing w:after="140"/>
      </w:pPr>
      <w:r>
        <w:rPr>
          <w:sz w:val="21"/>
          <w:szCs w:val="21"/>
        </w:rPr>
        <w:t xml:space="preserve">NYSERDA uses community thermal energy network, abbreviated CTEN, for the multi building case. Its own definition of a thermal energy network is a network of pipes connecting multiple buildings, often including a large anchor offtaker such as a college, university or hospital, and connecting them to thermal sources and sinks including geothermal, surface water, waste heat and air, to provide space heating, cooling and domestic hot water.</w:t>
      </w:r>
    </w:p>
    <w:p>
      <w:pPr>
        <w:spacing w:after="140"/>
      </w:pPr>
      <w:r>
        <w:rPr>
          <w:sz w:val="21"/>
          <w:szCs w:val="21"/>
        </w:rPr>
        <w:t xml:space="preserve">The Clean Energy Communities program treats thermal energy networks as a High Impact Action for municipalities, which puts a municipal adoption pathway alongside the funding pathway.</w:t>
      </w:r>
    </w:p>
    <w:p>
      <w:pPr>
        <w:spacing w:after="200" w:before="80"/>
      </w:pPr>
      <w:r>
        <w:rPr>
          <w:i/>
          <w:iCs/>
          <w:color w:val="666666"/>
          <w:sz w:val="17"/>
          <w:szCs w:val="17"/>
        </w:rPr>
        <w:t xml:space="preserve">Source: nyserda.ny.gov Clean Energy Communities High Impact Actions and Thermal Energy Networks toolkit.</w:t>
      </w:r>
    </w:p>
    <w:p>
      <w:pPr>
        <w:pStyle w:val="Heading2"/>
        <w:spacing w:after="120" w:before="260"/>
      </w:pPr>
      <w:r>
        <w:rPr>
          <w:b/>
          <w:bCs/>
          <w:color w:val="B02020"/>
          <w:sz w:val="24"/>
          <w:szCs w:val="24"/>
        </w:rPr>
        <w:t xml:space="preserve">6.4 Predecessor and the reports it produced</w:t>
      </w:r>
    </w:p>
    <w:p>
      <w:pPr>
        <w:spacing w:after="140"/>
      </w:pPr>
      <w:r>
        <w:rPr>
          <w:sz w:val="21"/>
          <w:szCs w:val="21"/>
        </w:rPr>
        <w:t xml:space="preserve">PON 4614, Community Heat Pump Systems, was the earlier feasibility and design program. Its Category C system design awards ran to several million USD in individual cases, one example being a 3.9 million USD award for a fully electric building on closed loop geothermal with 320 boreholes at 500 feet. The program left behind a published review of its own feasibility studies.</w:t>
      </w:r>
    </w:p>
    <w:p>
      <w:pPr>
        <w:spacing w:after="200" w:before="80"/>
      </w:pPr>
      <w:r>
        <w:rPr>
          <w:i/>
          <w:iCs/>
          <w:color w:val="666666"/>
          <w:sz w:val="17"/>
          <w:szCs w:val="17"/>
        </w:rPr>
        <w:t xml:space="preserve">Source: nyserda.ny.gov Reports and Resources page; IGSHPA 2025 conference presentation, NYSERDA Support for Large-Scale Thermal Systems.</w:t>
      </w:r>
    </w:p>
    <w:p>
      <w:r>
        <w:br w:type="page"/>
      </w:r>
    </w:p>
    <w:p>
      <w:pPr>
        <w:pStyle w:val="Heading1"/>
        <w:spacing w:after="160" w:before="360"/>
      </w:pPr>
      <w:r>
        <w:rPr>
          <w:b/>
          <w:bCs/>
          <w:color w:val="222222"/>
          <w:sz w:val="30"/>
          <w:szCs w:val="30"/>
        </w:rPr>
        <w:t xml:space="preserve">7. FlexTech (PON 4192)</w:t>
      </w:r>
    </w:p>
    <w:p>
      <w:pPr>
        <w:spacing w:after="140"/>
      </w:pPr>
      <w:r>
        <w:rPr>
          <w:sz w:val="21"/>
          <w:szCs w:val="21"/>
        </w:rPr>
        <w:t xml:space="preserve">FlexTech is the cheapest and most flexible instrument in the estate and it is live. It shares the cost of producing an objective, site specific, targeted study on how best to implement clean energy or energy efficiency technologies. Thermal Energy Network Study is a named primary service, which is what makes it relevant here.</w:t>
      </w:r>
    </w:p>
    <w:p>
      <w:pPr>
        <w:pStyle w:val="Heading2"/>
        <w:spacing w:after="120" w:before="260"/>
      </w:pPr>
      <w:r>
        <w:rPr>
          <w:b/>
          <w:bCs/>
          <w:color w:val="B02020"/>
          <w:sz w:val="24"/>
          <w:szCs w:val="24"/>
        </w:rPr>
        <w:t xml:space="preserve">7.1 Eligibility</w:t>
      </w:r>
    </w:p>
    <w:p>
      <w:pPr>
        <w:pStyle w:val="ListParagraph"/>
        <w:numPr>
          <w:ilvl w:val="0"/>
          <w:numId w:val="2"/>
        </w:numPr>
        <w:spacing w:after="90"/>
      </w:pPr>
      <w:r>
        <w:rPr>
          <w:sz w:val="21"/>
          <w:szCs w:val="21"/>
        </w:rPr>
        <w:t xml:space="preserve">Eligible participants are commercial, industrial, institutional and multifamily facilities located in New York State, including small businesses and not for profits.</w:t>
      </w:r>
    </w:p>
    <w:p>
      <w:pPr>
        <w:pStyle w:val="ListParagraph"/>
        <w:numPr>
          <w:ilvl w:val="0"/>
          <w:numId w:val="2"/>
        </w:numPr>
        <w:spacing w:after="90"/>
      </w:pPr>
      <w:r>
        <w:rPr>
          <w:sz w:val="21"/>
          <w:szCs w:val="21"/>
        </w:rPr>
        <w:t xml:space="preserve">Most eligible participants must pay into the electric System Benefits Charge through their facility utility company. Limited funds may be available for certain entities that do not, including industrial sites and affordable multifamily properties.</w:t>
      </w:r>
    </w:p>
    <w:p>
      <w:pPr>
        <w:pStyle w:val="ListParagraph"/>
        <w:numPr>
          <w:ilvl w:val="0"/>
          <w:numId w:val="2"/>
        </w:numPr>
        <w:spacing w:after="90"/>
      </w:pPr>
      <w:r>
        <w:rPr>
          <w:sz w:val="21"/>
          <w:szCs w:val="21"/>
        </w:rPr>
        <w:t xml:space="preserve">A third party technical assistance service provider is required for all projects. The customer may pick from the NYSERDA FlexTech consultant list or select an independent service provider.</w:t>
      </w:r>
    </w:p>
    <w:p>
      <w:pPr>
        <w:pStyle w:val="ListParagraph"/>
        <w:numPr>
          <w:ilvl w:val="0"/>
          <w:numId w:val="2"/>
        </w:numPr>
        <w:spacing w:after="90"/>
      </w:pPr>
      <w:r>
        <w:rPr>
          <w:sz w:val="21"/>
          <w:szCs w:val="21"/>
        </w:rPr>
        <w:t xml:space="preserve">Eligible projects are those showing potential for energy savings, carbon savings or process improvements, including opportunities to consider efficiency in the face of known energy use increases.</w:t>
      </w:r>
    </w:p>
    <w:p>
      <w:pPr>
        <w:pStyle w:val="ListParagraph"/>
        <w:numPr>
          <w:ilvl w:val="0"/>
          <w:numId w:val="2"/>
        </w:numPr>
        <w:spacing w:after="90"/>
      </w:pPr>
      <w:r>
        <w:rPr>
          <w:sz w:val="21"/>
          <w:szCs w:val="21"/>
        </w:rPr>
        <w:t xml:space="preserve">Colleges and universities must be Clean Green Campus members to receive any cost share at all.</w:t>
      </w:r>
    </w:p>
    <w:p>
      <w:pPr>
        <w:pStyle w:val="Heading2"/>
        <w:spacing w:after="120" w:before="260"/>
      </w:pPr>
      <w:r>
        <w:rPr>
          <w:b/>
          <w:bCs/>
          <w:color w:val="B02020"/>
          <w:sz w:val="24"/>
          <w:szCs w:val="24"/>
        </w:rPr>
        <w:t xml:space="preserve">7.2 Primary services</w:t>
      </w:r>
    </w:p>
    <w:p>
      <w:pPr>
        <w:spacing w:after="140"/>
      </w:pPr>
      <w:r>
        <w:rPr>
          <w:sz w:val="21"/>
          <w:szCs w:val="21"/>
        </w:rPr>
        <w:t xml:space="preserve">Targeted or Comprehensive Energy Study. Targeted or Comprehensive retro commissioning study. Climate Action Plan or Sustainability Plan. Clean Heating and Cooling Study. Thermal Energy Network Study. Energy Master Planning. Energy Advisor Services. School Bus Fleet Electrification Plans.</w:t>
      </w:r>
    </w:p>
    <w:p>
      <w:pPr>
        <w:spacing w:after="140"/>
      </w:pPr>
      <w:r>
        <w:rPr>
          <w:sz w:val="21"/>
          <w:szCs w:val="21"/>
        </w:rPr>
        <w:t xml:space="preserve">Supporting services, which attract cost share only in combination with a primary service, include investigation of renewable energy technologies, a complete greenhouse gas emission inventory, installation of permanent meters or sub meters, and grant writing. Some supporting services are capped at 10,000 USD.</w:t>
      </w:r>
    </w:p>
    <w:p>
      <w:pPr>
        <w:pStyle w:val="Heading2"/>
        <w:spacing w:after="120" w:before="260"/>
      </w:pPr>
      <w:r>
        <w:rPr>
          <w:b/>
          <w:bCs/>
          <w:color w:val="B02020"/>
          <w:sz w:val="24"/>
          <w:szCs w:val="24"/>
        </w:rPr>
        <w:t xml:space="preserve">7.3 Cost share by sector</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3120"/>
        <w:gridCol w:w="2600"/>
        <w:gridCol w:w="3640"/>
      </w:tblGrid>
      <w:tr>
        <w:trPr>
          <w:tblHeader/>
        </w:trPr>
        <w:tc>
          <w:tcPr>
            <w:tcW w:type="dxa" w:w="3120"/>
            <w:shd w:fill="F2F2F2" w:color="auto" w:val="clear"/>
            <w:tcMar>
              <w:top w:type="dxa" w:w="80"/>
              <w:left w:type="dxa" w:w="110"/>
              <w:bottom w:type="dxa" w:w="80"/>
              <w:right w:type="dxa" w:w="110"/>
            </w:tcMar>
          </w:tcPr>
          <w:p>
            <w:r>
              <w:rPr>
                <w:b/>
                <w:bCs/>
                <w:sz w:val="18"/>
                <w:szCs w:val="18"/>
              </w:rPr>
              <w:t xml:space="preserve">Sector</w:t>
            </w:r>
          </w:p>
        </w:tc>
        <w:tc>
          <w:tcPr>
            <w:tcW w:type="dxa" w:w="2600"/>
            <w:shd w:fill="F2F2F2" w:color="auto" w:val="clear"/>
            <w:tcMar>
              <w:top w:type="dxa" w:w="80"/>
              <w:left w:type="dxa" w:w="110"/>
              <w:bottom w:type="dxa" w:w="80"/>
              <w:right w:type="dxa" w:w="110"/>
            </w:tcMar>
          </w:tcPr>
          <w:p>
            <w:r>
              <w:rPr>
                <w:b/>
                <w:bCs/>
                <w:sz w:val="18"/>
                <w:szCs w:val="18"/>
              </w:rPr>
              <w:t xml:space="preserve">Cost share</w:t>
            </w:r>
          </w:p>
        </w:tc>
        <w:tc>
          <w:tcPr>
            <w:tcW w:type="dxa" w:w="3640"/>
            <w:shd w:fill="F2F2F2" w:color="auto" w:val="clear"/>
            <w:tcMar>
              <w:top w:type="dxa" w:w="80"/>
              <w:left w:type="dxa" w:w="110"/>
              <w:bottom w:type="dxa" w:w="80"/>
              <w:right w:type="dxa" w:w="110"/>
            </w:tcMar>
          </w:tcPr>
          <w:p>
            <w:r>
              <w:rPr>
                <w:b/>
                <w:bCs/>
                <w:sz w:val="18"/>
                <w:szCs w:val="18"/>
              </w:rPr>
              <w:t xml:space="preserve">Notes</w:t>
            </w:r>
          </w:p>
        </w:tc>
      </w:tr>
      <w:tr>
        <w:trPr>
          <w:tblHeader w:val="false"/>
        </w:trPr>
        <w:tc>
          <w:tcPr>
            <w:tcW w:type="dxa" w:w="3120"/>
            <w:tcMar>
              <w:top w:type="dxa" w:w="80"/>
              <w:left w:type="dxa" w:w="110"/>
              <w:bottom w:type="dxa" w:w="80"/>
              <w:right w:type="dxa" w:w="110"/>
            </w:tcMar>
          </w:tcPr>
          <w:p>
            <w:r>
              <w:rPr>
                <w:sz w:val="18"/>
                <w:szCs w:val="18"/>
              </w:rPr>
              <w:t xml:space="preserve">Commercial</w:t>
            </w:r>
          </w:p>
        </w:tc>
        <w:tc>
          <w:tcPr>
            <w:tcW w:type="dxa" w:w="2600"/>
            <w:tcMar>
              <w:top w:type="dxa" w:w="80"/>
              <w:left w:type="dxa" w:w="110"/>
              <w:bottom w:type="dxa" w:w="80"/>
              <w:right w:type="dxa" w:w="110"/>
            </w:tcMar>
          </w:tcPr>
          <w:p>
            <w:r>
              <w:rPr>
                <w:sz w:val="18"/>
                <w:szCs w:val="18"/>
              </w:rPr>
              <w:t xml:space="preserve">50 to 75 per cent</w:t>
            </w:r>
          </w:p>
        </w:tc>
        <w:tc>
          <w:tcPr>
            <w:tcW w:type="dxa" w:w="3640"/>
            <w:tcMar>
              <w:top w:type="dxa" w:w="80"/>
              <w:left w:type="dxa" w:w="110"/>
              <w:bottom w:type="dxa" w:w="80"/>
              <w:right w:type="dxa" w:w="110"/>
            </w:tcMar>
          </w:tcPr>
          <w:p>
            <w:r>
              <w:rPr>
                <w:sz w:val="18"/>
                <w:szCs w:val="18"/>
              </w:rPr>
              <w:t xml:space="preserve">Cap up to 500,000 USD or up to 20 per cent of annual energy expenditure, whichever is less</w:t>
            </w:r>
          </w:p>
        </w:tc>
      </w:tr>
      <w:tr>
        <w:trPr>
          <w:tblHeader w:val="false"/>
        </w:trPr>
        <w:tc>
          <w:tcPr>
            <w:tcW w:type="dxa" w:w="3120"/>
            <w:tcMar>
              <w:top w:type="dxa" w:w="80"/>
              <w:left w:type="dxa" w:w="110"/>
              <w:bottom w:type="dxa" w:w="80"/>
              <w:right w:type="dxa" w:w="110"/>
            </w:tcMar>
          </w:tcPr>
          <w:p>
            <w:r>
              <w:rPr>
                <w:sz w:val="18"/>
                <w:szCs w:val="18"/>
              </w:rPr>
              <w:t xml:space="preserve">Industrial</w:t>
            </w:r>
          </w:p>
        </w:tc>
        <w:tc>
          <w:tcPr>
            <w:tcW w:type="dxa" w:w="2600"/>
            <w:tcMar>
              <w:top w:type="dxa" w:w="80"/>
              <w:left w:type="dxa" w:w="110"/>
              <w:bottom w:type="dxa" w:w="80"/>
              <w:right w:type="dxa" w:w="110"/>
            </w:tcMar>
          </w:tcPr>
          <w:p>
            <w:r>
              <w:rPr>
                <w:sz w:val="18"/>
                <w:szCs w:val="18"/>
              </w:rPr>
              <w:t xml:space="preserve">50 to 75 per cent</w:t>
            </w:r>
          </w:p>
        </w:tc>
        <w:tc>
          <w:tcPr>
            <w:tcW w:type="dxa" w:w="3640"/>
            <w:tcMar>
              <w:top w:type="dxa" w:w="80"/>
              <w:left w:type="dxa" w:w="110"/>
              <w:bottom w:type="dxa" w:w="80"/>
              <w:right w:type="dxa" w:w="110"/>
            </w:tcMar>
          </w:tcPr>
          <w:p>
            <w:r>
              <w:rPr>
                <w:sz w:val="18"/>
                <w:szCs w:val="18"/>
              </w:rPr>
              <w:t xml:space="preserve">Up to 75 per cent for industrial customers in a disadvantaged community or investigating electrification, while funds are available</w:t>
            </w:r>
          </w:p>
        </w:tc>
      </w:tr>
      <w:tr>
        <w:trPr>
          <w:tblHeader w:val="false"/>
        </w:trPr>
        <w:tc>
          <w:tcPr>
            <w:tcW w:type="dxa" w:w="3120"/>
            <w:tcMar>
              <w:top w:type="dxa" w:w="80"/>
              <w:left w:type="dxa" w:w="110"/>
              <w:bottom w:type="dxa" w:w="80"/>
              <w:right w:type="dxa" w:w="110"/>
            </w:tcMar>
          </w:tcPr>
          <w:p>
            <w:r>
              <w:rPr>
                <w:sz w:val="18"/>
                <w:szCs w:val="18"/>
              </w:rPr>
              <w:t xml:space="preserve">P-12 Schools</w:t>
            </w:r>
          </w:p>
        </w:tc>
        <w:tc>
          <w:tcPr>
            <w:tcW w:type="dxa" w:w="2600"/>
            <w:tcMar>
              <w:top w:type="dxa" w:w="80"/>
              <w:left w:type="dxa" w:w="110"/>
              <w:bottom w:type="dxa" w:w="80"/>
              <w:right w:type="dxa" w:w="110"/>
            </w:tcMar>
          </w:tcPr>
          <w:p>
            <w:r>
              <w:rPr>
                <w:sz w:val="18"/>
                <w:szCs w:val="18"/>
              </w:rPr>
              <w:t xml:space="preserve">50 to 100 per cent</w:t>
            </w:r>
          </w:p>
        </w:tc>
        <w:tc>
          <w:tcPr>
            <w:tcW w:type="dxa" w:w="3640"/>
            <w:tcMar>
              <w:top w:type="dxa" w:w="80"/>
              <w:left w:type="dxa" w:w="110"/>
              <w:bottom w:type="dxa" w:w="80"/>
              <w:right w:type="dxa" w:w="110"/>
            </w:tcMar>
          </w:tcPr>
          <w:p>
            <w:r>
              <w:rPr>
                <w:sz w:val="18"/>
                <w:szCs w:val="18"/>
              </w:rPr>
              <w:t xml:space="preserve">Available to schools ineligible for Clean Green Schools (PON 4924). Non public schools in a disadvantaged community up to 100 per cent</w:t>
            </w:r>
          </w:p>
        </w:tc>
      </w:tr>
      <w:tr>
        <w:trPr>
          <w:tblHeader w:val="false"/>
        </w:trPr>
        <w:tc>
          <w:tcPr>
            <w:tcW w:type="dxa" w:w="3120"/>
            <w:tcMar>
              <w:top w:type="dxa" w:w="80"/>
              <w:left w:type="dxa" w:w="110"/>
              <w:bottom w:type="dxa" w:w="80"/>
              <w:right w:type="dxa" w:w="110"/>
            </w:tcMar>
          </w:tcPr>
          <w:p>
            <w:r>
              <w:rPr>
                <w:sz w:val="18"/>
                <w:szCs w:val="18"/>
              </w:rPr>
              <w:t xml:space="preserve">Multifamily, affordable</w:t>
            </w:r>
          </w:p>
        </w:tc>
        <w:tc>
          <w:tcPr>
            <w:tcW w:type="dxa" w:w="2600"/>
            <w:tcMar>
              <w:top w:type="dxa" w:w="80"/>
              <w:left w:type="dxa" w:w="110"/>
              <w:bottom w:type="dxa" w:w="80"/>
              <w:right w:type="dxa" w:w="110"/>
            </w:tcMar>
          </w:tcPr>
          <w:p>
            <w:r>
              <w:rPr>
                <w:sz w:val="18"/>
                <w:szCs w:val="18"/>
              </w:rPr>
              <w:t xml:space="preserve">75 per cent</w:t>
            </w:r>
          </w:p>
        </w:tc>
        <w:tc>
          <w:tcPr>
            <w:tcW w:type="dxa" w:w="3640"/>
            <w:tcMar>
              <w:top w:type="dxa" w:w="80"/>
              <w:left w:type="dxa" w:w="110"/>
              <w:bottom w:type="dxa" w:w="80"/>
              <w:right w:type="dxa" w:w="110"/>
            </w:tcMar>
          </w:tcPr>
          <w:p>
            <w:r>
              <w:rPr>
                <w:sz w:val="18"/>
                <w:szCs w:val="18"/>
              </w:rPr>
              <w:t xml:space="preserve">Minimum cost share provisions apply for buildings with low annual energy expenditure</w:t>
            </w:r>
          </w:p>
        </w:tc>
      </w:tr>
      <w:tr>
        <w:trPr>
          <w:tblHeader w:val="false"/>
        </w:trPr>
        <w:tc>
          <w:tcPr>
            <w:tcW w:type="dxa" w:w="3120"/>
            <w:tcMar>
              <w:top w:type="dxa" w:w="80"/>
              <w:left w:type="dxa" w:w="110"/>
              <w:bottom w:type="dxa" w:w="80"/>
              <w:right w:type="dxa" w:w="110"/>
            </w:tcMar>
          </w:tcPr>
          <w:p>
            <w:r>
              <w:rPr>
                <w:sz w:val="18"/>
                <w:szCs w:val="18"/>
              </w:rPr>
              <w:t xml:space="preserve">Multifamily, market rate</w:t>
            </w:r>
          </w:p>
        </w:tc>
        <w:tc>
          <w:tcPr>
            <w:tcW w:type="dxa" w:w="2600"/>
            <w:tcMar>
              <w:top w:type="dxa" w:w="80"/>
              <w:left w:type="dxa" w:w="110"/>
              <w:bottom w:type="dxa" w:w="80"/>
              <w:right w:type="dxa" w:w="110"/>
            </w:tcMar>
          </w:tcPr>
          <w:p>
            <w:r>
              <w:rPr>
                <w:sz w:val="18"/>
                <w:szCs w:val="18"/>
              </w:rPr>
              <w:t xml:space="preserve">50 per cent</w:t>
            </w:r>
          </w:p>
        </w:tc>
        <w:tc>
          <w:tcPr>
            <w:tcW w:type="dxa" w:w="3640"/>
            <w:tcMar>
              <w:top w:type="dxa" w:w="80"/>
              <w:left w:type="dxa" w:w="110"/>
              <w:bottom w:type="dxa" w:w="80"/>
              <w:right w:type="dxa" w:w="110"/>
            </w:tcMar>
          </w:tcPr>
          <w:p>
            <w:r>
              <w:rPr>
                <w:sz w:val="18"/>
                <w:szCs w:val="18"/>
              </w:rPr>
              <w:t xml:space="preserve"/>
            </w:r>
          </w:p>
        </w:tc>
      </w:tr>
      <w:tr>
        <w:trPr>
          <w:tblHeader w:val="false"/>
        </w:trPr>
        <w:tc>
          <w:tcPr>
            <w:tcW w:type="dxa" w:w="3120"/>
            <w:tcMar>
              <w:top w:type="dxa" w:w="80"/>
              <w:left w:type="dxa" w:w="110"/>
              <w:bottom w:type="dxa" w:w="80"/>
              <w:right w:type="dxa" w:w="110"/>
            </w:tcMar>
          </w:tcPr>
          <w:p>
            <w:r>
              <w:rPr>
                <w:sz w:val="18"/>
                <w:szCs w:val="18"/>
              </w:rPr>
              <w:t xml:space="preserve">Colleges and universities</w:t>
            </w:r>
          </w:p>
        </w:tc>
        <w:tc>
          <w:tcPr>
            <w:tcW w:type="dxa" w:w="2600"/>
            <w:tcMar>
              <w:top w:type="dxa" w:w="80"/>
              <w:left w:type="dxa" w:w="110"/>
              <w:bottom w:type="dxa" w:w="80"/>
              <w:right w:type="dxa" w:w="110"/>
            </w:tcMar>
          </w:tcPr>
          <w:p>
            <w:r>
              <w:rPr>
                <w:sz w:val="18"/>
                <w:szCs w:val="18"/>
              </w:rPr>
              <w:t xml:space="preserve">50 or 75 per cent</w:t>
            </w:r>
          </w:p>
        </w:tc>
        <w:tc>
          <w:tcPr>
            <w:tcW w:type="dxa" w:w="3640"/>
            <w:tcMar>
              <w:top w:type="dxa" w:w="80"/>
              <w:left w:type="dxa" w:w="110"/>
              <w:bottom w:type="dxa" w:w="80"/>
              <w:right w:type="dxa" w:w="110"/>
            </w:tcMar>
          </w:tcPr>
          <w:p>
            <w:r>
              <w:rPr>
                <w:sz w:val="18"/>
                <w:szCs w:val="18"/>
              </w:rPr>
              <w:t xml:space="preserve">Clean Green Campus membership required. 75 per cent where the project includes electrification investigation and the member has not previously participated in PON 4192</w:t>
            </w:r>
          </w:p>
        </w:tc>
      </w:tr>
      <w:tr>
        <w:trPr>
          <w:tblHeader w:val="false"/>
        </w:trPr>
        <w:tc>
          <w:tcPr>
            <w:tcW w:type="dxa" w:w="3120"/>
            <w:tcMar>
              <w:top w:type="dxa" w:w="80"/>
              <w:left w:type="dxa" w:w="110"/>
              <w:bottom w:type="dxa" w:w="80"/>
              <w:right w:type="dxa" w:w="110"/>
            </w:tcMar>
          </w:tcPr>
          <w:p>
            <w:r>
              <w:rPr>
                <w:sz w:val="18"/>
                <w:szCs w:val="18"/>
              </w:rPr>
              <w:t xml:space="preserve">Hospitals</w:t>
            </w:r>
          </w:p>
        </w:tc>
        <w:tc>
          <w:tcPr>
            <w:tcW w:type="dxa" w:w="2600"/>
            <w:tcMar>
              <w:top w:type="dxa" w:w="80"/>
              <w:left w:type="dxa" w:w="110"/>
              <w:bottom w:type="dxa" w:w="80"/>
              <w:right w:type="dxa" w:w="110"/>
            </w:tcMar>
          </w:tcPr>
          <w:p>
            <w:r>
              <w:rPr>
                <w:sz w:val="18"/>
                <w:szCs w:val="18"/>
              </w:rPr>
              <w:t xml:space="preserve">Up to 100 per cent</w:t>
            </w:r>
          </w:p>
        </w:tc>
        <w:tc>
          <w:tcPr>
            <w:tcW w:type="dxa" w:w="3640"/>
            <w:tcMar>
              <w:top w:type="dxa" w:w="80"/>
              <w:left w:type="dxa" w:w="110"/>
              <w:bottom w:type="dxa" w:w="80"/>
              <w:right w:type="dxa" w:w="110"/>
            </w:tcMar>
          </w:tcPr>
          <w:p>
            <w:r>
              <w:rPr>
                <w:sz w:val="18"/>
                <w:szCs w:val="18"/>
              </w:rPr>
              <w:t xml:space="preserve">Safety net hospitals and hospitals in a disadvantaged community, up to 1,000,000 USD, for a limited time</w:t>
            </w:r>
          </w:p>
        </w:tc>
      </w:tr>
    </w:tbl>
    <w:p>
      <w:pPr>
        <w:spacing w:after="140"/>
      </w:pPr>
      <w:r>
        <w:rPr>
          <w:sz w:val="21"/>
          <w:szCs w:val="21"/>
        </w:rPr>
        <w:t xml:space="preserve">NYSERDA reserves the right to adjust the annual energy expenditure cap on a per project basis.</w:t>
      </w:r>
    </w:p>
    <w:p>
      <w:pPr>
        <w:spacing w:after="200" w:before="80"/>
      </w:pPr>
      <w:r>
        <w:rPr>
          <w:i/>
          <w:iCs/>
          <w:color w:val="666666"/>
          <w:sz w:val="17"/>
          <w:szCs w:val="17"/>
        </w:rPr>
        <w:t xml:space="preserve">Source: NYSERDA Flexible Technical Assistance eligibility fact sheets; nyserda.ny.gov FlexTech Program page; NYSERDA Incentive Programs Winter 2025.</w:t>
      </w:r>
    </w:p>
    <w:p>
      <w:r>
        <w:br w:type="page"/>
      </w:r>
    </w:p>
    <w:p>
      <w:pPr>
        <w:pStyle w:val="Heading1"/>
        <w:spacing w:after="160" w:before="360"/>
      </w:pPr>
      <w:r>
        <w:rPr>
          <w:b/>
          <w:bCs/>
          <w:color w:val="222222"/>
          <w:sz w:val="30"/>
          <w:szCs w:val="30"/>
        </w:rPr>
        <w:t xml:space="preserve">8. P-12 Clean Green Schools Initiative (PON 4924)</w:t>
      </w:r>
    </w:p>
    <w:p>
      <w:pPr>
        <w:pStyle w:val="Heading2"/>
        <w:spacing w:after="120" w:before="260"/>
      </w:pPr>
      <w:r>
        <w:rPr>
          <w:b/>
          <w:bCs/>
          <w:color w:val="B02020"/>
          <w:sz w:val="24"/>
          <w:szCs w:val="24"/>
        </w:rPr>
        <w:t xml:space="preserve">8.1 Purpose and budget</w:t>
      </w:r>
    </w:p>
    <w:p>
      <w:pPr>
        <w:spacing w:after="140"/>
      </w:pPr>
      <w:r>
        <w:rPr>
          <w:sz w:val="21"/>
          <w:szCs w:val="21"/>
        </w:rPr>
        <w:t xml:space="preserve">Budget stated at 59 million USD at launch. The goal is to help public schools that traditionally lack resources to invest in infrastructure improvements become healthier and more productive learning environments, by reducing school energy loads, decarbonising the building portfolio, improving indoor air quality, and providing clean energy educational opportunities.</w:t>
      </w:r>
    </w:p>
    <w:p>
      <w:pPr>
        <w:pStyle w:val="Heading2"/>
        <w:spacing w:after="120" w:before="260"/>
      </w:pPr>
      <w:r>
        <w:rPr>
          <w:b/>
          <w:bCs/>
          <w:color w:val="B02020"/>
          <w:sz w:val="24"/>
          <w:szCs w:val="24"/>
        </w:rPr>
        <w:t xml:space="preserve">8.2 Eligibility</w:t>
      </w:r>
    </w:p>
    <w:p>
      <w:pPr>
        <w:pStyle w:val="ListParagraph"/>
        <w:numPr>
          <w:ilvl w:val="0"/>
          <w:numId w:val="2"/>
        </w:numPr>
        <w:spacing w:after="90"/>
      </w:pPr>
      <w:r>
        <w:rPr>
          <w:sz w:val="21"/>
          <w:szCs w:val="21"/>
        </w:rPr>
        <w:t xml:space="preserve">All existing public school buildings across New York State designated as High Needs by the New York State Education Department, or located in a disadvantaged community.</w:t>
      </w:r>
    </w:p>
    <w:p>
      <w:pPr>
        <w:pStyle w:val="ListParagraph"/>
        <w:numPr>
          <w:ilvl w:val="0"/>
          <w:numId w:val="2"/>
        </w:numPr>
        <w:spacing w:after="90"/>
      </w:pPr>
      <w:r>
        <w:rPr>
          <w:sz w:val="21"/>
          <w:szCs w:val="21"/>
        </w:rPr>
        <w:t xml:space="preserve">System Benefits Charge contribution is not required to participate. This is unusual across the NYSERDA estate and materially widens the eligible set.</w:t>
      </w:r>
    </w:p>
    <w:p>
      <w:pPr>
        <w:pStyle w:val="ListParagraph"/>
        <w:numPr>
          <w:ilvl w:val="0"/>
          <w:numId w:val="2"/>
        </w:numPr>
        <w:spacing w:after="90"/>
      </w:pPr>
      <w:r>
        <w:rPr>
          <w:sz w:val="21"/>
          <w:szCs w:val="21"/>
        </w:rPr>
        <w:t xml:space="preserve">A provision in the enacted FY2023 New York State budget eliminates the reduction in Building Aid that districts would otherwise face for projects receiving a Clean Green Schools grant. Districts are therefore not penalised in state aid for taking the money.</w:t>
      </w:r>
    </w:p>
    <w:p>
      <w:pPr>
        <w:pStyle w:val="Heading2"/>
        <w:spacing w:after="120" w:before="260"/>
      </w:pPr>
      <w:r>
        <w:rPr>
          <w:b/>
          <w:bCs/>
          <w:color w:val="B02020"/>
          <w:sz w:val="24"/>
          <w:szCs w:val="24"/>
        </w:rPr>
        <w:t xml:space="preserve">8.3 The two tracks</w:t>
      </w:r>
    </w:p>
    <w:p>
      <w:pPr>
        <w:spacing w:after="80" w:before="160"/>
      </w:pPr>
      <w:r>
        <w:rPr>
          <w:b/>
          <w:bCs/>
          <w:sz w:val="21"/>
          <w:szCs w:val="21"/>
        </w:rPr>
        <w:t xml:space="preserve">Track I, Planning</w:t>
      </w:r>
    </w:p>
    <w:p>
      <w:pPr>
        <w:spacing w:after="140"/>
      </w:pPr>
      <w:r>
        <w:rPr>
          <w:sz w:val="21"/>
          <w:szCs w:val="21"/>
        </w:rPr>
        <w:t xml:space="preserve">Open enrollment. Funds professional services that help schools evaluate, plan for and facilitate energy reduction, decarbonisation, environmental sustainability and indoor air quality projects, including energy studies, an on site energy manager, and fiscal advisors. The Track I NYSERDA cap is 150,000 USD, applied as a building and district cap, with some standalone caps in addition to it. On site Energy Manager funding runs at up to 75 per cent cost share. Applications were accepted until 30 December 2025.</w:t>
      </w:r>
    </w:p>
    <w:p>
      <w:pPr>
        <w:spacing w:after="80" w:before="160"/>
      </w:pPr>
      <w:r>
        <w:rPr>
          <w:b/>
          <w:bCs/>
          <w:sz w:val="21"/>
          <w:szCs w:val="21"/>
        </w:rPr>
        <w:t xml:space="preserve">Track II, Installation</w:t>
      </w:r>
    </w:p>
    <w:p>
      <w:pPr>
        <w:spacing w:after="140"/>
      </w:pPr>
      <w:r>
        <w:rPr>
          <w:sz w:val="21"/>
          <w:szCs w:val="21"/>
        </w:rPr>
        <w:t xml:space="preserve">Competitive. Funds construction projects that decarbonise a school building portfolio, including comprehensive retrofits affecting energy consumption and overall building load, electrification readiness projects, and conversion of central heating or cooling plant to clean energy technologies such as heat pumps. NYSERDA has awarded over 41 million USD to date. Project costs are fundable up to 100 per cent net of other funding sources, and NYSERDA funding may not exceed 100 per cent of project cost. State Aid and local utility funding are encouraged alongside.</w:t>
      </w:r>
    </w:p>
    <w:p>
      <w:pPr>
        <w:spacing w:after="140"/>
      </w:pPr>
      <w:r>
        <w:rPr>
          <w:sz w:val="21"/>
          <w:szCs w:val="21"/>
        </w:rPr>
        <w:t xml:space="preserve">One awarded example, for scale: a district receiving 5,030,000 USD to install a ground source heat pump and air source heat pumps, plus a building management system with demand control ventilation, affecting one middle school building, with educational opportunities built around the ground source heat pump.</w:t>
      </w:r>
    </w:p>
    <w:p>
      <w:pPr>
        <w:spacing w:after="80" w:before="160"/>
      </w:pPr>
      <w:r>
        <w:rPr>
          <w:b/>
          <w:bCs/>
          <w:sz w:val="21"/>
          <w:szCs w:val="21"/>
        </w:rPr>
        <w:t xml:space="preserve">Current status</w:t>
      </w:r>
    </w:p>
    <w:p>
      <w:pPr>
        <w:spacing w:after="140"/>
      </w:pPr>
      <w:r>
        <w:rPr>
          <w:sz w:val="21"/>
          <w:szCs w:val="21"/>
        </w:rPr>
        <w:t xml:space="preserve">Track II is closed. NYSERDA stated it would coordinate a third round of funding to support P-12 installation projects in early 2026. That window has passed without confirmation on the page.</w:t>
      </w:r>
    </w:p>
    <w:p>
      <w:pPr>
        <w:pStyle w:val="Heading2"/>
        <w:spacing w:after="120" w:before="260"/>
      </w:pPr>
      <w:r>
        <w:rPr>
          <w:b/>
          <w:bCs/>
          <w:color w:val="B02020"/>
          <w:sz w:val="24"/>
          <w:szCs w:val="24"/>
        </w:rPr>
        <w:t xml:space="preserve">8.4 Award criteria on record</w:t>
      </w:r>
    </w:p>
    <w:p>
      <w:pPr>
        <w:pStyle w:val="ListParagraph"/>
        <w:numPr>
          <w:ilvl w:val="0"/>
          <w:numId w:val="2"/>
        </w:numPr>
        <w:spacing w:after="90"/>
      </w:pPr>
      <w:r>
        <w:rPr>
          <w:sz w:val="21"/>
          <w:szCs w:val="21"/>
        </w:rPr>
        <w:t xml:space="preserve">Impact on reducing fossil fuel consumption and transition to clean heating and cooling technologies.</w:t>
      </w:r>
    </w:p>
    <w:p>
      <w:pPr>
        <w:pStyle w:val="ListParagraph"/>
        <w:numPr>
          <w:ilvl w:val="0"/>
          <w:numId w:val="2"/>
        </w:numPr>
        <w:spacing w:after="90"/>
      </w:pPr>
      <w:r>
        <w:rPr>
          <w:sz w:val="21"/>
          <w:szCs w:val="21"/>
        </w:rPr>
        <w:t xml:space="preserve">Appropriate ventilation and filtration.</w:t>
      </w:r>
    </w:p>
    <w:p>
      <w:pPr>
        <w:pStyle w:val="ListParagraph"/>
        <w:numPr>
          <w:ilvl w:val="0"/>
          <w:numId w:val="2"/>
        </w:numPr>
        <w:spacing w:after="90"/>
      </w:pPr>
      <w:r>
        <w:rPr>
          <w:sz w:val="21"/>
          <w:szCs w:val="21"/>
        </w:rPr>
        <w:t xml:space="preserve">Integration of student engagement activities within the project.</w:t>
      </w:r>
    </w:p>
    <w:p>
      <w:pPr>
        <w:pStyle w:val="ListParagraph"/>
        <w:numPr>
          <w:ilvl w:val="0"/>
          <w:numId w:val="2"/>
        </w:numPr>
        <w:spacing w:after="90"/>
      </w:pPr>
      <w:r>
        <w:rPr>
          <w:sz w:val="21"/>
          <w:szCs w:val="21"/>
        </w:rPr>
        <w:t xml:space="preserve">Stage of the proposed project and its viability.</w:t>
      </w:r>
    </w:p>
    <w:p>
      <w:pPr>
        <w:pStyle w:val="ListParagraph"/>
        <w:numPr>
          <w:ilvl w:val="0"/>
          <w:numId w:val="2"/>
        </w:numPr>
        <w:spacing w:after="90"/>
      </w:pPr>
      <w:r>
        <w:rPr>
          <w:sz w:val="21"/>
          <w:szCs w:val="21"/>
        </w:rPr>
        <w:t xml:space="preserve">Resiliency components of the proposed project.</w:t>
      </w:r>
    </w:p>
    <w:p>
      <w:pPr>
        <w:pStyle w:val="ListParagraph"/>
        <w:numPr>
          <w:ilvl w:val="0"/>
          <w:numId w:val="2"/>
        </w:numPr>
        <w:spacing w:after="90"/>
      </w:pPr>
      <w:r>
        <w:rPr>
          <w:sz w:val="21"/>
          <w:szCs w:val="21"/>
        </w:rPr>
        <w:t xml:space="preserve">Expanded use of the school or schools to support the community.</w:t>
      </w:r>
    </w:p>
    <w:p>
      <w:pPr>
        <w:pStyle w:val="ListParagraph"/>
        <w:numPr>
          <w:ilvl w:val="0"/>
          <w:numId w:val="2"/>
        </w:numPr>
        <w:spacing w:after="90"/>
      </w:pPr>
      <w:r>
        <w:rPr>
          <w:sz w:val="21"/>
          <w:szCs w:val="21"/>
        </w:rPr>
        <w:t xml:space="preserve">A completed budget that appears reasonable.</w:t>
      </w:r>
    </w:p>
    <w:p>
      <w:pPr>
        <w:spacing w:after="140"/>
      </w:pPr>
      <w:r>
        <w:rPr>
          <w:sz w:val="21"/>
          <w:szCs w:val="21"/>
        </w:rPr>
        <w:t xml:space="preserve">Projects mixing clean heating and cooling measures with other decarbonisation measures are evaluated under the clean heating and cooling criteria.</w:t>
      </w:r>
    </w:p>
    <w:p>
      <w:pPr>
        <w:spacing w:after="200" w:before="80"/>
      </w:pPr>
      <w:r>
        <w:rPr>
          <w:i/>
          <w:iCs/>
          <w:color w:val="666666"/>
          <w:sz w:val="17"/>
          <w:szCs w:val="17"/>
        </w:rPr>
        <w:t xml:space="preserve">Source: Clean Green Schools Initiative PON 4924 webinar decks, May 2022 and February 2024; nyserda.ny.gov Clean Green Schools Initiative and Track II Awardees pages; FlexTech eligibility fact sheet.</w:t>
      </w:r>
    </w:p>
    <w:p>
      <w:pPr>
        <w:pBdr>
          <w:bottom w:val="single" w:color="CCCCCC" w:sz="6" w:space="1"/>
        </w:pBdr>
        <w:spacing w:after="200" w:before="120"/>
      </w:pPr>
      <w:r>
        <w:rPr>
          <w:sz w:val="2"/>
          <w:szCs w:val="2"/>
        </w:rPr>
        <w:t xml:space="preserve"/>
      </w:r>
    </w:p>
    <w:p>
      <w:pPr>
        <w:pStyle w:val="Heading1"/>
        <w:spacing w:after="160" w:before="360"/>
      </w:pPr>
      <w:r>
        <w:rPr>
          <w:b/>
          <w:bCs/>
          <w:color w:val="222222"/>
          <w:sz w:val="30"/>
          <w:szCs w:val="30"/>
        </w:rPr>
        <w:t xml:space="preserve">9. Empire Building Challenge</w:t>
      </w:r>
    </w:p>
    <w:p>
      <w:pPr>
        <w:spacing w:after="140"/>
      </w:pPr>
      <w:r>
        <w:rPr>
          <w:sz w:val="21"/>
          <w:szCs w:val="21"/>
        </w:rPr>
        <w:t xml:space="preserve">A partnership program rather than a grant round. It advances new design approaches for low carbon retrofits in New York high rise buildings, through partnerships and funding for demonstration projects. NYSERDA states that all ten projects awarded under it featured heat recovery in some form, as part of a phased decarbonisation retrofit, and uses that record as the evidence that heat recovery is a no regrets strategy for much of the existing building stock.</w:t>
      </w:r>
    </w:p>
    <w:p>
      <w:pPr>
        <w:spacing w:after="80" w:before="160"/>
      </w:pPr>
      <w:r>
        <w:rPr>
          <w:b/>
          <w:bCs/>
          <w:sz w:val="21"/>
          <w:szCs w:val="21"/>
        </w:rPr>
        <w:t xml:space="preserve">Two published exemplars</w:t>
      </w:r>
    </w:p>
    <w:p>
      <w:pPr>
        <w:pStyle w:val="ListParagraph"/>
        <w:numPr>
          <w:ilvl w:val="0"/>
          <w:numId w:val="2"/>
        </w:numPr>
        <w:spacing w:after="90"/>
      </w:pPr>
      <w:r>
        <w:rPr>
          <w:sz w:val="21"/>
          <w:szCs w:val="21"/>
        </w:rPr>
        <w:t xml:space="preserve">Hudson 345. A phased retrofit deploying thermal networking to cut energy demand, sharing and transporting heat within and between the floors of the building.</w:t>
      </w:r>
    </w:p>
    <w:p>
      <w:pPr>
        <w:pStyle w:val="ListParagraph"/>
        <w:numPr>
          <w:ilvl w:val="0"/>
          <w:numId w:val="2"/>
        </w:numPr>
        <w:spacing w:after="90"/>
      </w:pPr>
      <w:r>
        <w:rPr>
          <w:sz w:val="21"/>
          <w:szCs w:val="21"/>
        </w:rPr>
        <w:t xml:space="preserve">55 Water Street. A thermal battery system that captures, stores and reuses heat energy to meet both heating and cooling needs, framed around Local Law 97 compliance.</w:t>
      </w:r>
    </w:p>
    <w:p>
      <w:pPr>
        <w:spacing w:after="200" w:before="80"/>
      </w:pPr>
      <w:r>
        <w:rPr>
          <w:i/>
          <w:iCs/>
          <w:color w:val="666666"/>
          <w:sz w:val="17"/>
          <w:szCs w:val="17"/>
        </w:rPr>
        <w:t xml:space="preserve">Source: nyserda.ny.gov Heat Recovery Program and Empire Building Challenge pages.</w:t>
      </w:r>
    </w:p>
    <w:p>
      <w:pPr>
        <w:pBdr>
          <w:bottom w:val="single" w:color="CCCCCC" w:sz="6" w:space="1"/>
        </w:pBdr>
        <w:spacing w:after="200" w:before="120"/>
      </w:pPr>
      <w:r>
        <w:rPr>
          <w:sz w:val="2"/>
          <w:szCs w:val="2"/>
        </w:rPr>
        <w:t xml:space="preserve"/>
      </w:r>
    </w:p>
    <w:p>
      <w:pPr>
        <w:pStyle w:val="Heading1"/>
        <w:spacing w:after="160" w:before="360"/>
      </w:pPr>
      <w:r>
        <w:rPr>
          <w:b/>
          <w:bCs/>
          <w:color w:val="222222"/>
          <w:sz w:val="30"/>
          <w:szCs w:val="30"/>
        </w:rPr>
        <w:t xml:space="preserve">10. Tools, evidence base and event record</w:t>
      </w:r>
    </w:p>
    <w:p>
      <w:pPr>
        <w:pStyle w:val="Heading2"/>
        <w:spacing w:after="120" w:before="260"/>
      </w:pPr>
      <w:r>
        <w:rPr>
          <w:b/>
          <w:bCs/>
          <w:color w:val="B02020"/>
          <w:sz w:val="24"/>
          <w:szCs w:val="24"/>
        </w:rPr>
        <w:t xml:space="preserve">10.1 Analysis tools</w:t>
      </w:r>
    </w:p>
    <w:p>
      <w:pPr>
        <w:pStyle w:val="ListParagraph"/>
        <w:numPr>
          <w:ilvl w:val="0"/>
          <w:numId w:val="2"/>
        </w:numPr>
        <w:spacing w:after="90"/>
      </w:pPr>
      <w:r>
        <w:rPr>
          <w:sz w:val="21"/>
          <w:szCs w:val="21"/>
        </w:rPr>
        <w:t xml:space="preserve">Energy Sources and Sinks Inventory Tool. Identifies where waste energy can be captured, the sources, and where it can be reused, the sinks, during retrofit planning. Hosted on retrofitplaybook.org.</w:t>
      </w:r>
    </w:p>
    <w:p>
      <w:pPr>
        <w:pStyle w:val="ListParagraph"/>
        <w:numPr>
          <w:ilvl w:val="0"/>
          <w:numId w:val="2"/>
        </w:numPr>
        <w:spacing w:after="90"/>
      </w:pPr>
      <w:r>
        <w:rPr>
          <w:sz w:val="21"/>
          <w:szCs w:val="21"/>
        </w:rPr>
        <w:t xml:space="preserve">Energy Recovery Mapping Tool. Compares building specific data for sources and sinks to estimate potential recovery, with built in assumptions and data to move from concept to feasibility. Hosted on retrofitplaybook.org.</w:t>
      </w:r>
    </w:p>
    <w:p>
      <w:pPr>
        <w:pStyle w:val="Heading2"/>
        <w:spacing w:after="120" w:before="260"/>
      </w:pPr>
      <w:r>
        <w:rPr>
          <w:b/>
          <w:bCs/>
          <w:color w:val="B02020"/>
          <w:sz w:val="24"/>
          <w:szCs w:val="24"/>
        </w:rPr>
        <w:t xml:space="preserve">10.2 Reference library</w:t>
      </w:r>
    </w:p>
    <w:p>
      <w:pPr>
        <w:spacing w:after="140"/>
      </w:pPr>
      <w:r>
        <w:rPr>
          <w:sz w:val="21"/>
          <w:szCs w:val="21"/>
        </w:rPr>
        <w:t xml:space="preserve">Held on the Heat Recovery and Large-Scale Thermal pages. These are the documents that show how New York State itself frames the argument, which matters for any submission written to it.</w:t>
      </w:r>
    </w:p>
    <w:p>
      <w:pPr>
        <w:pStyle w:val="ListParagraph"/>
        <w:numPr>
          <w:ilvl w:val="0"/>
          <w:numId w:val="2"/>
        </w:numPr>
        <w:spacing w:after="90"/>
      </w:pPr>
      <w:r>
        <w:rPr>
          <w:sz w:val="21"/>
          <w:szCs w:val="21"/>
        </w:rPr>
        <w:t xml:space="preserve">Waste Heat: The Next Frontier of the Energy Transition. Case studies and policy review.</w:t>
      </w:r>
    </w:p>
    <w:p>
      <w:pPr>
        <w:pStyle w:val="ListParagraph"/>
        <w:numPr>
          <w:ilvl w:val="0"/>
          <w:numId w:val="2"/>
        </w:numPr>
        <w:spacing w:after="90"/>
      </w:pPr>
      <w:r>
        <w:rPr>
          <w:sz w:val="21"/>
          <w:szCs w:val="21"/>
        </w:rPr>
        <w:t xml:space="preserve">Low-Temperature Thermal Energy Networks: A Comparative Review of Configuration Options.</w:t>
      </w:r>
    </w:p>
    <w:p>
      <w:pPr>
        <w:pStyle w:val="ListParagraph"/>
        <w:numPr>
          <w:ilvl w:val="0"/>
          <w:numId w:val="2"/>
        </w:numPr>
        <w:spacing w:after="90"/>
      </w:pPr>
      <w:r>
        <w:rPr>
          <w:sz w:val="21"/>
          <w:szCs w:val="21"/>
        </w:rPr>
        <w:t xml:space="preserve">Analysis of Regulatory Issues affecting the District Thermal Marketplace.</w:t>
      </w:r>
    </w:p>
    <w:p>
      <w:pPr>
        <w:pStyle w:val="ListParagraph"/>
        <w:numPr>
          <w:ilvl w:val="0"/>
          <w:numId w:val="2"/>
        </w:numPr>
        <w:spacing w:after="90"/>
      </w:pPr>
      <w:r>
        <w:rPr>
          <w:sz w:val="21"/>
          <w:szCs w:val="21"/>
        </w:rPr>
        <w:t xml:space="preserve">Jurisdictional Review of Policy and Regulatory Frameworks for Thermal Energy Networks.</w:t>
      </w:r>
    </w:p>
    <w:p>
      <w:pPr>
        <w:pStyle w:val="ListParagraph"/>
        <w:numPr>
          <w:ilvl w:val="0"/>
          <w:numId w:val="2"/>
        </w:numPr>
        <w:spacing w:after="90"/>
      </w:pPr>
      <w:r>
        <w:rPr>
          <w:sz w:val="21"/>
          <w:szCs w:val="21"/>
        </w:rPr>
        <w:t xml:space="preserve">Review of NYSERDA Community Heat Pump Systems Feasibility Studies, PON 4614.</w:t>
      </w:r>
    </w:p>
    <w:p>
      <w:pPr>
        <w:pStyle w:val="ListParagraph"/>
        <w:numPr>
          <w:ilvl w:val="0"/>
          <w:numId w:val="2"/>
        </w:numPr>
        <w:spacing w:after="90"/>
      </w:pPr>
      <w:r>
        <w:rPr>
          <w:sz w:val="21"/>
          <w:szCs w:val="21"/>
        </w:rPr>
        <w:t xml:space="preserve">Market Potential Study regarding Downstate Applicability of Aquifer Thermal Energy Storage.</w:t>
      </w:r>
    </w:p>
    <w:p>
      <w:pPr>
        <w:pStyle w:val="ListParagraph"/>
        <w:numPr>
          <w:ilvl w:val="0"/>
          <w:numId w:val="2"/>
        </w:numPr>
        <w:spacing w:after="90"/>
      </w:pPr>
      <w:r>
        <w:rPr>
          <w:sz w:val="21"/>
          <w:szCs w:val="21"/>
        </w:rPr>
        <w:t xml:space="preserve">Data Center Heat Reuse. NYSERDA links the Uptime Institute management primer on recovering waste heat from data centers as its own reference on the subject.</w:t>
      </w:r>
    </w:p>
    <w:p>
      <w:pPr>
        <w:pStyle w:val="ListParagraph"/>
        <w:numPr>
          <w:ilvl w:val="0"/>
          <w:numId w:val="2"/>
        </w:numPr>
        <w:spacing w:after="90"/>
      </w:pPr>
      <w:r>
        <w:rPr>
          <w:sz w:val="21"/>
          <w:szCs w:val="21"/>
        </w:rPr>
        <w:t xml:space="preserve">The Future of Energy Efficiency, which carries an article titled Reject Rejected Energy at page 44.</w:t>
      </w:r>
    </w:p>
    <w:p>
      <w:pPr>
        <w:pStyle w:val="Heading2"/>
        <w:spacing w:after="120" w:before="260"/>
      </w:pPr>
      <w:r>
        <w:rPr>
          <w:b/>
          <w:bCs/>
          <w:color w:val="B02020"/>
          <w:sz w:val="24"/>
          <w:szCs w:val="24"/>
        </w:rPr>
        <w:t xml:space="preserve">10.3 Event record</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3900"/>
        <w:gridCol w:w="5460"/>
      </w:tblGrid>
      <w:tr>
        <w:trPr>
          <w:tblHeader/>
        </w:trPr>
        <w:tc>
          <w:tcPr>
            <w:tcW w:type="dxa" w:w="3900"/>
            <w:shd w:fill="F2F2F2" w:color="auto" w:val="clear"/>
            <w:tcMar>
              <w:top w:type="dxa" w:w="80"/>
              <w:left w:type="dxa" w:w="110"/>
              <w:bottom w:type="dxa" w:w="80"/>
              <w:right w:type="dxa" w:w="110"/>
            </w:tcMar>
          </w:tcPr>
          <w:p>
            <w:r>
              <w:rPr>
                <w:b/>
                <w:bCs/>
                <w:sz w:val="18"/>
                <w:szCs w:val="18"/>
              </w:rPr>
              <w:t xml:space="preserve">Date</w:t>
            </w:r>
          </w:p>
        </w:tc>
        <w:tc>
          <w:tcPr>
            <w:tcW w:type="dxa" w:w="5460"/>
            <w:shd w:fill="F2F2F2" w:color="auto" w:val="clear"/>
            <w:tcMar>
              <w:top w:type="dxa" w:w="80"/>
              <w:left w:type="dxa" w:w="110"/>
              <w:bottom w:type="dxa" w:w="80"/>
              <w:right w:type="dxa" w:w="110"/>
            </w:tcMar>
          </w:tcPr>
          <w:p>
            <w:r>
              <w:rPr>
                <w:b/>
                <w:bCs/>
                <w:sz w:val="18"/>
                <w:szCs w:val="18"/>
              </w:rPr>
              <w:t xml:space="preserve">Event</w:t>
            </w:r>
          </w:p>
        </w:tc>
      </w:tr>
      <w:tr>
        <w:trPr>
          <w:tblHeader w:val="false"/>
        </w:trPr>
        <w:tc>
          <w:tcPr>
            <w:tcW w:type="dxa" w:w="3900"/>
            <w:tcMar>
              <w:top w:type="dxa" w:w="80"/>
              <w:left w:type="dxa" w:w="110"/>
              <w:bottom w:type="dxa" w:w="80"/>
              <w:right w:type="dxa" w:w="110"/>
            </w:tcMar>
          </w:tcPr>
          <w:p>
            <w:r>
              <w:rPr>
                <w:sz w:val="18"/>
                <w:szCs w:val="18"/>
              </w:rPr>
              <w:t xml:space="preserve">25 March 2026</w:t>
            </w:r>
          </w:p>
        </w:tc>
        <w:tc>
          <w:tcPr>
            <w:tcW w:type="dxa" w:w="5460"/>
            <w:tcMar>
              <w:top w:type="dxa" w:w="80"/>
              <w:left w:type="dxa" w:w="110"/>
              <w:bottom w:type="dxa" w:w="80"/>
              <w:right w:type="dxa" w:w="110"/>
            </w:tcMar>
          </w:tcPr>
          <w:p>
            <w:r>
              <w:rPr>
                <w:sz w:val="18"/>
                <w:szCs w:val="18"/>
              </w:rPr>
              <w:t xml:space="preserve">NY-GEO panel, Applications of Waste Heat Recovery and Thermal Storage</w:t>
            </w:r>
          </w:p>
        </w:tc>
      </w:tr>
      <w:tr>
        <w:trPr>
          <w:tblHeader w:val="false"/>
        </w:trPr>
        <w:tc>
          <w:tcPr>
            <w:tcW w:type="dxa" w:w="3900"/>
            <w:tcMar>
              <w:top w:type="dxa" w:w="80"/>
              <w:left w:type="dxa" w:w="110"/>
              <w:bottom w:type="dxa" w:w="80"/>
              <w:right w:type="dxa" w:w="110"/>
            </w:tcMar>
          </w:tcPr>
          <w:p>
            <w:r>
              <w:rPr>
                <w:sz w:val="18"/>
                <w:szCs w:val="18"/>
              </w:rPr>
              <w:t xml:space="preserve">27 August 2025</w:t>
            </w:r>
          </w:p>
        </w:tc>
        <w:tc>
          <w:tcPr>
            <w:tcW w:type="dxa" w:w="5460"/>
            <w:tcMar>
              <w:top w:type="dxa" w:w="80"/>
              <w:left w:type="dxa" w:w="110"/>
              <w:bottom w:type="dxa" w:w="80"/>
              <w:right w:type="dxa" w:w="110"/>
            </w:tcMar>
          </w:tcPr>
          <w:p>
            <w:r>
              <w:rPr>
                <w:sz w:val="18"/>
                <w:szCs w:val="18"/>
              </w:rPr>
              <w:t xml:space="preserve">Greenbuild webinar, Green Buildings Must Prioritize the Recovery of Rejected Energy</w:t>
            </w:r>
          </w:p>
        </w:tc>
      </w:tr>
      <w:tr>
        <w:trPr>
          <w:tblHeader w:val="false"/>
        </w:trPr>
        <w:tc>
          <w:tcPr>
            <w:tcW w:type="dxa" w:w="3900"/>
            <w:tcMar>
              <w:top w:type="dxa" w:w="80"/>
              <w:left w:type="dxa" w:w="110"/>
              <w:bottom w:type="dxa" w:w="80"/>
              <w:right w:type="dxa" w:w="110"/>
            </w:tcMar>
          </w:tcPr>
          <w:p>
            <w:r>
              <w:rPr>
                <w:sz w:val="18"/>
                <w:szCs w:val="18"/>
              </w:rPr>
              <w:t xml:space="preserve">20 May 2025</w:t>
            </w:r>
          </w:p>
        </w:tc>
        <w:tc>
          <w:tcPr>
            <w:tcW w:type="dxa" w:w="5460"/>
            <w:tcMar>
              <w:top w:type="dxa" w:w="80"/>
              <w:left w:type="dxa" w:w="110"/>
              <w:bottom w:type="dxa" w:w="80"/>
              <w:right w:type="dxa" w:w="110"/>
            </w:tcMar>
          </w:tcPr>
          <w:p>
            <w:r>
              <w:rPr>
                <w:sz w:val="18"/>
                <w:szCs w:val="18"/>
              </w:rPr>
              <w:t xml:space="preserve">Heat Recovery Roundtable</w:t>
            </w:r>
          </w:p>
        </w:tc>
      </w:tr>
      <w:tr>
        <w:trPr>
          <w:tblHeader w:val="false"/>
        </w:trPr>
        <w:tc>
          <w:tcPr>
            <w:tcW w:type="dxa" w:w="3900"/>
            <w:tcMar>
              <w:top w:type="dxa" w:w="80"/>
              <w:left w:type="dxa" w:w="110"/>
              <w:bottom w:type="dxa" w:w="80"/>
              <w:right w:type="dxa" w:w="110"/>
            </w:tcMar>
          </w:tcPr>
          <w:p>
            <w:r>
              <w:rPr>
                <w:sz w:val="18"/>
                <w:szCs w:val="18"/>
              </w:rPr>
              <w:t xml:space="preserve">24 April 2025</w:t>
            </w:r>
          </w:p>
        </w:tc>
        <w:tc>
          <w:tcPr>
            <w:tcW w:type="dxa" w:w="5460"/>
            <w:tcMar>
              <w:top w:type="dxa" w:w="80"/>
              <w:left w:type="dxa" w:w="110"/>
              <w:bottom w:type="dxa" w:w="80"/>
              <w:right w:type="dxa" w:w="110"/>
            </w:tcMar>
          </w:tcPr>
          <w:p>
            <w:r>
              <w:rPr>
                <w:sz w:val="18"/>
                <w:szCs w:val="18"/>
              </w:rPr>
              <w:t xml:space="preserve">NY-GEO panel, Waste Heat Recovery and Thermal Storage for Buildings and Networks</w:t>
            </w:r>
          </w:p>
        </w:tc>
      </w:tr>
      <w:tr>
        <w:trPr>
          <w:tblHeader w:val="false"/>
        </w:trPr>
        <w:tc>
          <w:tcPr>
            <w:tcW w:type="dxa" w:w="3900"/>
            <w:tcMar>
              <w:top w:type="dxa" w:w="80"/>
              <w:left w:type="dxa" w:w="110"/>
              <w:bottom w:type="dxa" w:w="80"/>
              <w:right w:type="dxa" w:w="110"/>
            </w:tcMar>
          </w:tcPr>
          <w:p>
            <w:r>
              <w:rPr>
                <w:sz w:val="18"/>
                <w:szCs w:val="18"/>
              </w:rPr>
              <w:t xml:space="preserve">19 February 2025</w:t>
            </w:r>
          </w:p>
        </w:tc>
        <w:tc>
          <w:tcPr>
            <w:tcW w:type="dxa" w:w="5460"/>
            <w:tcMar>
              <w:top w:type="dxa" w:w="80"/>
              <w:left w:type="dxa" w:w="110"/>
              <w:bottom w:type="dxa" w:w="80"/>
              <w:right w:type="dxa" w:w="110"/>
            </w:tcMar>
          </w:tcPr>
          <w:p>
            <w:r>
              <w:rPr>
                <w:sz w:val="18"/>
                <w:szCs w:val="18"/>
              </w:rPr>
              <w:t xml:space="preserve">PON 5547 program update webinar, Category 3 focus</w:t>
            </w:r>
          </w:p>
        </w:tc>
      </w:tr>
      <w:tr>
        <w:trPr>
          <w:tblHeader w:val="false"/>
        </w:trPr>
        <w:tc>
          <w:tcPr>
            <w:tcW w:type="dxa" w:w="3900"/>
            <w:tcMar>
              <w:top w:type="dxa" w:w="80"/>
              <w:left w:type="dxa" w:w="110"/>
              <w:bottom w:type="dxa" w:w="80"/>
              <w:right w:type="dxa" w:w="110"/>
            </w:tcMar>
          </w:tcPr>
          <w:p>
            <w:r>
              <w:rPr>
                <w:sz w:val="18"/>
                <w:szCs w:val="18"/>
              </w:rPr>
              <w:t xml:space="preserve">9 April 2024</w:t>
            </w:r>
          </w:p>
        </w:tc>
        <w:tc>
          <w:tcPr>
            <w:tcW w:type="dxa" w:w="5460"/>
            <w:tcMar>
              <w:top w:type="dxa" w:w="80"/>
              <w:left w:type="dxa" w:w="110"/>
              <w:bottom w:type="dxa" w:w="80"/>
              <w:right w:type="dxa" w:w="110"/>
            </w:tcMar>
          </w:tcPr>
          <w:p>
            <w:r>
              <w:rPr>
                <w:sz w:val="18"/>
                <w:szCs w:val="18"/>
              </w:rPr>
              <w:t xml:space="preserve">Heat Recovery Roundtable, featuring Syracuse University Center of Excellence</w:t>
            </w:r>
          </w:p>
        </w:tc>
      </w:tr>
      <w:tr>
        <w:trPr>
          <w:tblHeader w:val="false"/>
        </w:trPr>
        <w:tc>
          <w:tcPr>
            <w:tcW w:type="dxa" w:w="3900"/>
            <w:tcMar>
              <w:top w:type="dxa" w:w="80"/>
              <w:left w:type="dxa" w:w="110"/>
              <w:bottom w:type="dxa" w:w="80"/>
              <w:right w:type="dxa" w:w="110"/>
            </w:tcMar>
          </w:tcPr>
          <w:p>
            <w:r>
              <w:rPr>
                <w:sz w:val="18"/>
                <w:szCs w:val="18"/>
              </w:rPr>
              <w:t xml:space="preserve">31 January 2024</w:t>
            </w:r>
          </w:p>
        </w:tc>
        <w:tc>
          <w:tcPr>
            <w:tcW w:type="dxa" w:w="5460"/>
            <w:tcMar>
              <w:top w:type="dxa" w:w="80"/>
              <w:left w:type="dxa" w:w="110"/>
              <w:bottom w:type="dxa" w:w="80"/>
              <w:right w:type="dxa" w:w="110"/>
            </w:tcMar>
          </w:tcPr>
          <w:p>
            <w:r>
              <w:rPr>
                <w:sz w:val="18"/>
                <w:szCs w:val="18"/>
              </w:rPr>
              <w:t xml:space="preserve">Heat Recovery Roundtable, featuring Starbucks Reserve Empire State Building</w:t>
            </w:r>
          </w:p>
        </w:tc>
      </w:tr>
      <w:tr>
        <w:trPr>
          <w:tblHeader w:val="false"/>
        </w:trPr>
        <w:tc>
          <w:tcPr>
            <w:tcW w:type="dxa" w:w="3900"/>
            <w:tcMar>
              <w:top w:type="dxa" w:w="80"/>
              <w:left w:type="dxa" w:w="110"/>
              <w:bottom w:type="dxa" w:w="80"/>
              <w:right w:type="dxa" w:w="110"/>
            </w:tcMar>
          </w:tcPr>
          <w:p>
            <w:r>
              <w:rPr>
                <w:sz w:val="18"/>
                <w:szCs w:val="18"/>
              </w:rPr>
              <w:t xml:space="preserve">8 November 2023</w:t>
            </w:r>
          </w:p>
        </w:tc>
        <w:tc>
          <w:tcPr>
            <w:tcW w:type="dxa" w:w="5460"/>
            <w:tcMar>
              <w:top w:type="dxa" w:w="80"/>
              <w:left w:type="dxa" w:w="110"/>
              <w:bottom w:type="dxa" w:w="80"/>
              <w:right w:type="dxa" w:w="110"/>
            </w:tcMar>
          </w:tcPr>
          <w:p>
            <w:r>
              <w:rPr>
                <w:sz w:val="18"/>
                <w:szCs w:val="18"/>
              </w:rPr>
              <w:t xml:space="preserve">PON 5547 informational webinar</w:t>
            </w:r>
          </w:p>
        </w:tc>
      </w:tr>
    </w:tbl>
    <w:p>
      <w:pPr>
        <w:spacing w:after="200" w:before="80"/>
      </w:pPr>
      <w:r>
        <w:rPr>
          <w:i/>
          <w:iCs/>
          <w:color w:val="666666"/>
          <w:sz w:val="17"/>
          <w:szCs w:val="17"/>
        </w:rPr>
        <w:t xml:space="preserve">Source: nyserda.ny.gov Heat Recovery Program page and program document archive.</w:t>
      </w:r>
    </w:p>
    <w:p>
      <w:r>
        <w:br w:type="page"/>
      </w:r>
    </w:p>
    <w:p>
      <w:pPr>
        <w:pStyle w:val="Heading1"/>
        <w:spacing w:after="160" w:before="360"/>
      </w:pPr>
      <w:r>
        <w:rPr>
          <w:b/>
          <w:bCs/>
          <w:color w:val="222222"/>
          <w:sz w:val="30"/>
          <w:szCs w:val="30"/>
        </w:rPr>
        <w:t xml:space="preserve">11. How NYSERDA contracts, including the unsolicited route</w:t>
      </w:r>
    </w:p>
    <w:p>
      <w:pPr>
        <w:spacing w:after="140"/>
      </w:pPr>
      <w:r>
        <w:rPr>
          <w:sz w:val="21"/>
          <w:szCs w:val="21"/>
        </w:rPr>
        <w:t xml:space="preserve">NYSERDA programs outline broad energy and environmental challenges and then publicly request proposals from any private or institutional entity. Four competitive instruments are used.</w:t>
      </w:r>
    </w:p>
    <w:p>
      <w:pPr>
        <w:pStyle w:val="ListParagraph"/>
        <w:numPr>
          <w:ilvl w:val="0"/>
          <w:numId w:val="2"/>
        </w:numPr>
        <w:spacing w:after="90"/>
      </w:pPr>
      <w:r>
        <w:rPr>
          <w:sz w:val="21"/>
          <w:szCs w:val="21"/>
        </w:rPr>
        <w:t xml:space="preserve">Program Opportunity Notice. For soliciting projects to meet technical, economic, environmental and other objectives within a program area. Multiple awards and cost sharing are generally expected.</w:t>
      </w:r>
    </w:p>
    <w:p>
      <w:pPr>
        <w:pStyle w:val="ListParagraph"/>
        <w:numPr>
          <w:ilvl w:val="0"/>
          <w:numId w:val="2"/>
        </w:numPr>
        <w:spacing w:after="90"/>
      </w:pPr>
      <w:r>
        <w:rPr>
          <w:sz w:val="21"/>
          <w:szCs w:val="21"/>
        </w:rPr>
        <w:t xml:space="preserve">Request for Proposals. For a specific area of interest where the work can be described in a statement of work to a high degree of specificity. Single or multiple awards, cost sharing not generally expected.</w:t>
      </w:r>
    </w:p>
    <w:p>
      <w:pPr>
        <w:pStyle w:val="ListParagraph"/>
        <w:numPr>
          <w:ilvl w:val="0"/>
          <w:numId w:val="2"/>
        </w:numPr>
        <w:spacing w:after="90"/>
      </w:pPr>
      <w:r>
        <w:rPr>
          <w:sz w:val="21"/>
          <w:szCs w:val="21"/>
        </w:rPr>
        <w:t xml:space="preserve">Open Enrollment Program Opportunity Notice. For subscription and incentive based offers. Multiple awards and cost sharing expected.</w:t>
      </w:r>
    </w:p>
    <w:p>
      <w:pPr>
        <w:pStyle w:val="ListParagraph"/>
        <w:numPr>
          <w:ilvl w:val="0"/>
          <w:numId w:val="2"/>
        </w:numPr>
        <w:spacing w:after="90"/>
      </w:pPr>
      <w:r>
        <w:rPr>
          <w:sz w:val="21"/>
          <w:szCs w:val="21"/>
        </w:rPr>
        <w:t xml:space="preserve">Request for Quotation or Qualifications. For procuring contracts on cost or on a contractor qualifications. Single or multiple awards, cost sharing not generally expected.</w:t>
      </w:r>
    </w:p>
    <w:p>
      <w:pPr>
        <w:pStyle w:val="Heading2"/>
        <w:spacing w:after="120" w:before="260"/>
      </w:pPr>
      <w:r>
        <w:rPr>
          <w:b/>
          <w:bCs/>
          <w:color w:val="B02020"/>
          <w:sz w:val="24"/>
          <w:szCs w:val="24"/>
        </w:rPr>
        <w:t xml:space="preserve">11.1 Unsolicited proposals</w:t>
      </w:r>
    </w:p>
    <w:p>
      <w:pPr>
        <w:spacing w:after="140"/>
      </w:pPr>
      <w:r>
        <w:rPr>
          <w:sz w:val="21"/>
          <w:szCs w:val="21"/>
        </w:rPr>
        <w:t xml:space="preserve">NYSERDA policy is to award contracts competitively to the maximum extent possible, but it does consider unsolicited proposals for funding. The published mechanics matter, because they describe a route that does not depend on a round being open.</w:t>
      </w:r>
    </w:p>
    <w:p>
      <w:pPr>
        <w:pStyle w:val="ListParagraph"/>
        <w:numPr>
          <w:ilvl w:val="0"/>
          <w:numId w:val="2"/>
        </w:numPr>
        <w:spacing w:after="90"/>
      </w:pPr>
      <w:r>
        <w:rPr>
          <w:sz w:val="21"/>
          <w:szCs w:val="21"/>
        </w:rPr>
        <w:t xml:space="preserve">If an unsolicited proposal relates to an upcoming competitive solicitation, the proposer is asked to resubmit when that solicitation is issued.</w:t>
      </w:r>
    </w:p>
    <w:p>
      <w:pPr>
        <w:pStyle w:val="ListParagraph"/>
        <w:numPr>
          <w:ilvl w:val="0"/>
          <w:numId w:val="2"/>
        </w:numPr>
        <w:spacing w:after="90"/>
      </w:pPr>
      <w:r>
        <w:rPr>
          <w:sz w:val="21"/>
          <w:szCs w:val="21"/>
        </w:rPr>
        <w:t xml:space="preserve">An unsolicited proposal may call NYSERDA attention to a research topic where a competitive solicitation should be issued, in which case the submitter is asked to resubmit under the solicitation guidelines. In other words, an unsolicited proposal can cause a solicitation to exist.</w:t>
      </w:r>
    </w:p>
    <w:p>
      <w:pPr>
        <w:pStyle w:val="ListParagraph"/>
        <w:numPr>
          <w:ilvl w:val="0"/>
          <w:numId w:val="2"/>
        </w:numPr>
        <w:spacing w:after="90"/>
      </w:pPr>
      <w:r>
        <w:rPr>
          <w:sz w:val="21"/>
          <w:szCs w:val="21"/>
        </w:rPr>
        <w:t xml:space="preserve">To be considered, the proposal must be for superior work relevant to NYSERDA programs as expressed in the multi year program plan, be technically sound, provide for experienced personnel and the facilities needed to perform the work, and present a cost effective solution to the energy problem addressed.</w:t>
      </w:r>
    </w:p>
    <w:p>
      <w:pPr>
        <w:spacing w:after="200" w:before="80"/>
      </w:pPr>
      <w:r>
        <w:rPr>
          <w:i/>
          <w:iCs/>
          <w:color w:val="666666"/>
          <w:sz w:val="17"/>
          <w:szCs w:val="17"/>
        </w:rPr>
        <w:t xml:space="preserve">Source: nyserda.ny.gov Funding Opportunities page, read 30 July 2026.</w:t>
      </w:r>
    </w:p>
    <w:p>
      <w:pPr>
        <w:pBdr>
          <w:bottom w:val="single" w:color="CCCCCC" w:sz="6" w:space="1"/>
        </w:pBdr>
        <w:spacing w:after="200" w:before="120"/>
      </w:pPr>
      <w:r>
        <w:rPr>
          <w:sz w:val="2"/>
          <w:szCs w:val="2"/>
        </w:rPr>
        <w:t xml:space="preserve"/>
      </w:r>
    </w:p>
    <w:p>
      <w:pPr>
        <w:pStyle w:val="Heading1"/>
        <w:spacing w:after="160" w:before="360"/>
      </w:pPr>
      <w:r>
        <w:rPr>
          <w:b/>
          <w:bCs/>
          <w:color w:val="222222"/>
          <w:sz w:val="30"/>
          <w:szCs w:val="30"/>
        </w:rPr>
        <w:t xml:space="preserve">12. Where the money comes from</w:t>
      </w:r>
    </w:p>
    <w:p>
      <w:pPr>
        <w:spacing w:after="140"/>
      </w:pPr>
      <w:r>
        <w:rPr>
          <w:sz w:val="21"/>
          <w:szCs w:val="21"/>
        </w:rPr>
        <w:t xml:space="preserve">NYSERDA is primarily funded by state ratepayers through the System Benefits Charge and the Clean Energy Fund, collected on electric utility bills. Those funds support energy efficiency programs, research and development, low income energy programs and environmental disclosure activities.</w:t>
      </w:r>
    </w:p>
    <w:p>
      <w:pPr>
        <w:spacing w:after="140"/>
      </w:pPr>
      <w:r>
        <w:rPr>
          <w:sz w:val="21"/>
          <w:szCs w:val="21"/>
        </w:rPr>
        <w:t xml:space="preserve">Two consequences run through every program above. First, System Benefits Charge contribution status is a recurring eligibility gate, with named exceptions for P-12 Clean Green Schools, for Category 1 of the Heat Recovery Program after February 2025, and for limited funds available to some non contributing industrial and affordable multifamily sites under FlexTech. Second, Clean Energy Fund money may only be awarded to projects serving the customers who fund it, which is the mechanism behind the non stackability rule.</w:t>
      </w:r>
    </w:p>
    <w:p>
      <w:pPr>
        <w:spacing w:after="200" w:before="80"/>
      </w:pPr>
      <w:r>
        <w:rPr>
          <w:i/>
          <w:iCs/>
          <w:color w:val="666666"/>
          <w:sz w:val="17"/>
          <w:szCs w:val="17"/>
        </w:rPr>
        <w:t xml:space="preserve">Source: nyserda.ny.gov FlexTech Program page; PON 5547 question and answer guide, February 2025.</w:t>
      </w:r>
    </w:p>
    <w:p>
      <w:pPr>
        <w:pBdr>
          <w:bottom w:val="single" w:color="CCCCCC" w:sz="6" w:space="1"/>
        </w:pBdr>
        <w:spacing w:after="200" w:before="120"/>
      </w:pPr>
      <w:r>
        <w:rPr>
          <w:sz w:val="2"/>
          <w:szCs w:val="2"/>
        </w:rPr>
        <w:t xml:space="preserve"/>
      </w:r>
    </w:p>
    <w:p>
      <w:pPr>
        <w:pStyle w:val="Heading1"/>
        <w:spacing w:after="160" w:before="360"/>
      </w:pPr>
      <w:r>
        <w:rPr>
          <w:b/>
          <w:bCs/>
          <w:color w:val="222222"/>
          <w:sz w:val="30"/>
          <w:szCs w:val="30"/>
        </w:rPr>
        <w:t xml:space="preserve">13. Contacts and access points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3120"/>
        <w:gridCol w:w="6240"/>
      </w:tblGrid>
      <w:tr>
        <w:trPr>
          <w:tblHeader/>
        </w:trPr>
        <w:tc>
          <w:tcPr>
            <w:tcW w:type="dxa" w:w="3120"/>
            <w:shd w:fill="F2F2F2" w:color="auto" w:val="clear"/>
            <w:tcMar>
              <w:top w:type="dxa" w:w="80"/>
              <w:left w:type="dxa" w:w="110"/>
              <w:bottom w:type="dxa" w:w="80"/>
              <w:right w:type="dxa" w:w="110"/>
            </w:tcMar>
          </w:tcPr>
          <w:p>
            <w:r>
              <w:rPr>
                <w:b/>
                <w:bCs/>
                <w:sz w:val="18"/>
                <w:szCs w:val="18"/>
              </w:rPr>
              <w:t xml:space="preserve">Route</w:t>
            </w:r>
          </w:p>
        </w:tc>
        <w:tc>
          <w:tcPr>
            <w:tcW w:type="dxa" w:w="6240"/>
            <w:shd w:fill="F2F2F2" w:color="auto" w:val="clear"/>
            <w:tcMar>
              <w:top w:type="dxa" w:w="80"/>
              <w:left w:type="dxa" w:w="110"/>
              <w:bottom w:type="dxa" w:w="80"/>
              <w:right w:type="dxa" w:w="110"/>
            </w:tcMar>
          </w:tcPr>
          <w:p>
            <w:r>
              <w:rPr>
                <w:b/>
                <w:bCs/>
                <w:sz w:val="18"/>
                <w:szCs w:val="18"/>
              </w:rPr>
              <w:t xml:space="preserve">Detail</w:t>
            </w:r>
          </w:p>
        </w:tc>
      </w:tr>
      <w:tr>
        <w:trPr>
          <w:tblHeader w:val="false"/>
        </w:trPr>
        <w:tc>
          <w:tcPr>
            <w:tcW w:type="dxa" w:w="3120"/>
            <w:tcMar>
              <w:top w:type="dxa" w:w="80"/>
              <w:left w:type="dxa" w:w="110"/>
              <w:bottom w:type="dxa" w:w="80"/>
              <w:right w:type="dxa" w:w="110"/>
            </w:tcMar>
          </w:tcPr>
          <w:p>
            <w:r>
              <w:rPr>
                <w:sz w:val="18"/>
                <w:szCs w:val="18"/>
              </w:rPr>
              <w:t xml:space="preserve">Heat Recovery Program team</w:t>
            </w:r>
          </w:p>
        </w:tc>
        <w:tc>
          <w:tcPr>
            <w:tcW w:type="dxa" w:w="6240"/>
            <w:tcMar>
              <w:top w:type="dxa" w:w="80"/>
              <w:left w:type="dxa" w:w="110"/>
              <w:bottom w:type="dxa" w:w="80"/>
              <w:right w:type="dxa" w:w="110"/>
            </w:tcMar>
          </w:tcPr>
          <w:p>
            <w:r>
              <w:rPr>
                <w:sz w:val="18"/>
                <w:szCs w:val="18"/>
              </w:rPr>
              <w:t xml:space="preserve">heatrecovery@nyserda.ny.gov</w:t>
            </w:r>
          </w:p>
        </w:tc>
      </w:tr>
      <w:tr>
        <w:trPr>
          <w:tblHeader w:val="false"/>
        </w:trPr>
        <w:tc>
          <w:tcPr>
            <w:tcW w:type="dxa" w:w="3120"/>
            <w:tcMar>
              <w:top w:type="dxa" w:w="80"/>
              <w:left w:type="dxa" w:w="110"/>
              <w:bottom w:type="dxa" w:w="80"/>
              <w:right w:type="dxa" w:w="110"/>
            </w:tcMar>
          </w:tcPr>
          <w:p>
            <w:r>
              <w:rPr>
                <w:sz w:val="18"/>
                <w:szCs w:val="18"/>
              </w:rPr>
              <w:t xml:space="preserve">Solicitation portal</w:t>
            </w:r>
          </w:p>
        </w:tc>
        <w:tc>
          <w:tcPr>
            <w:tcW w:type="dxa" w:w="6240"/>
            <w:tcMar>
              <w:top w:type="dxa" w:w="80"/>
              <w:left w:type="dxa" w:w="110"/>
              <w:bottom w:type="dxa" w:w="80"/>
              <w:right w:type="dxa" w:w="110"/>
            </w:tcMar>
          </w:tcPr>
          <w:p>
            <w:r>
              <w:rPr>
                <w:sz w:val="18"/>
                <w:szCs w:val="18"/>
              </w:rPr>
              <w:t xml:space="preserve">portal.nyserda.ny.gov, solicitation detail pages by identifier</w:t>
            </w:r>
          </w:p>
        </w:tc>
      </w:tr>
      <w:tr>
        <w:trPr>
          <w:tblHeader w:val="false"/>
        </w:trPr>
        <w:tc>
          <w:tcPr>
            <w:tcW w:type="dxa" w:w="3120"/>
            <w:tcMar>
              <w:top w:type="dxa" w:w="80"/>
              <w:left w:type="dxa" w:w="110"/>
              <w:bottom w:type="dxa" w:w="80"/>
              <w:right w:type="dxa" w:w="110"/>
            </w:tcMar>
          </w:tcPr>
          <w:p>
            <w:r>
              <w:rPr>
                <w:sz w:val="18"/>
                <w:szCs w:val="18"/>
              </w:rPr>
              <w:t xml:space="preserve">Current and closed opportunities</w:t>
            </w:r>
          </w:p>
        </w:tc>
        <w:tc>
          <w:tcPr>
            <w:tcW w:type="dxa" w:w="6240"/>
            <w:tcMar>
              <w:top w:type="dxa" w:w="80"/>
              <w:left w:type="dxa" w:w="110"/>
              <w:bottom w:type="dxa" w:w="80"/>
              <w:right w:type="dxa" w:w="110"/>
            </w:tcMar>
          </w:tcPr>
          <w:p>
            <w:r>
              <w:rPr>
                <w:sz w:val="18"/>
                <w:szCs w:val="18"/>
              </w:rPr>
              <w:t xml:space="preserve">nyserda.ny.gov/Funding-Opportunities</w:t>
            </w:r>
          </w:p>
        </w:tc>
      </w:tr>
      <w:tr>
        <w:trPr>
          <w:tblHeader w:val="false"/>
        </w:trPr>
        <w:tc>
          <w:tcPr>
            <w:tcW w:type="dxa" w:w="3120"/>
            <w:tcMar>
              <w:top w:type="dxa" w:w="80"/>
              <w:left w:type="dxa" w:w="110"/>
              <w:bottom w:type="dxa" w:w="80"/>
              <w:right w:type="dxa" w:w="110"/>
            </w:tcMar>
          </w:tcPr>
          <w:p>
            <w:r>
              <w:rPr>
                <w:sz w:val="18"/>
                <w:szCs w:val="18"/>
              </w:rPr>
              <w:t xml:space="preserve">Heat Recovery Program</w:t>
            </w:r>
          </w:p>
        </w:tc>
        <w:tc>
          <w:tcPr>
            <w:tcW w:type="dxa" w:w="6240"/>
            <w:tcMar>
              <w:top w:type="dxa" w:w="80"/>
              <w:left w:type="dxa" w:w="110"/>
              <w:bottom w:type="dxa" w:w="80"/>
              <w:right w:type="dxa" w:w="110"/>
            </w:tcMar>
          </w:tcPr>
          <w:p>
            <w:r>
              <w:rPr>
                <w:sz w:val="18"/>
                <w:szCs w:val="18"/>
              </w:rPr>
              <w:t xml:space="preserve">nyserda.ny.gov/All-Programs/Heat-Recovery-Program</w:t>
            </w:r>
          </w:p>
        </w:tc>
      </w:tr>
      <w:tr>
        <w:trPr>
          <w:tblHeader w:val="false"/>
        </w:trPr>
        <w:tc>
          <w:tcPr>
            <w:tcW w:type="dxa" w:w="3120"/>
            <w:tcMar>
              <w:top w:type="dxa" w:w="80"/>
              <w:left w:type="dxa" w:w="110"/>
              <w:bottom w:type="dxa" w:w="80"/>
              <w:right w:type="dxa" w:w="110"/>
            </w:tcMar>
          </w:tcPr>
          <w:p>
            <w:r>
              <w:rPr>
                <w:sz w:val="18"/>
                <w:szCs w:val="18"/>
              </w:rPr>
              <w:t xml:space="preserve">Qualified solutions list</w:t>
            </w:r>
          </w:p>
        </w:tc>
        <w:tc>
          <w:tcPr>
            <w:tcW w:type="dxa" w:w="6240"/>
            <w:tcMar>
              <w:top w:type="dxa" w:w="80"/>
              <w:left w:type="dxa" w:w="110"/>
              <w:bottom w:type="dxa" w:w="80"/>
              <w:right w:type="dxa" w:w="110"/>
            </w:tcMar>
          </w:tcPr>
          <w:p>
            <w:r>
              <w:rPr>
                <w:sz w:val="18"/>
                <w:szCs w:val="18"/>
              </w:rPr>
              <w:t xml:space="preserve">nyserda.ny.gov/All-Programs/Heat-Recovery-Program/Heat-Recovery-Solutions</w:t>
            </w:r>
          </w:p>
        </w:tc>
      </w:tr>
      <w:tr>
        <w:trPr>
          <w:tblHeader w:val="false"/>
        </w:trPr>
        <w:tc>
          <w:tcPr>
            <w:tcW w:type="dxa" w:w="3120"/>
            <w:tcMar>
              <w:top w:type="dxa" w:w="80"/>
              <w:left w:type="dxa" w:w="110"/>
              <w:bottom w:type="dxa" w:w="80"/>
              <w:right w:type="dxa" w:w="110"/>
            </w:tcMar>
          </w:tcPr>
          <w:p>
            <w:r>
              <w:rPr>
                <w:sz w:val="18"/>
                <w:szCs w:val="18"/>
              </w:rPr>
              <w:t xml:space="preserve">Large-Scale Thermal</w:t>
            </w:r>
          </w:p>
        </w:tc>
        <w:tc>
          <w:tcPr>
            <w:tcW w:type="dxa" w:w="6240"/>
            <w:tcMar>
              <w:top w:type="dxa" w:w="80"/>
              <w:left w:type="dxa" w:w="110"/>
              <w:bottom w:type="dxa" w:w="80"/>
              <w:right w:type="dxa" w:w="110"/>
            </w:tcMar>
          </w:tcPr>
          <w:p>
            <w:r>
              <w:rPr>
                <w:sz w:val="18"/>
                <w:szCs w:val="18"/>
              </w:rPr>
              <w:t xml:space="preserve">nyserda.ny.gov/All-Programs/Large-Scale-Thermal</w:t>
            </w:r>
          </w:p>
        </w:tc>
      </w:tr>
      <w:tr>
        <w:trPr>
          <w:tblHeader w:val="false"/>
        </w:trPr>
        <w:tc>
          <w:tcPr>
            <w:tcW w:type="dxa" w:w="3120"/>
            <w:tcMar>
              <w:top w:type="dxa" w:w="80"/>
              <w:left w:type="dxa" w:w="110"/>
              <w:bottom w:type="dxa" w:w="80"/>
              <w:right w:type="dxa" w:w="110"/>
            </w:tcMar>
          </w:tcPr>
          <w:p>
            <w:r>
              <w:rPr>
                <w:sz w:val="18"/>
                <w:szCs w:val="18"/>
              </w:rPr>
              <w:t xml:space="preserve">FlexTech</w:t>
            </w:r>
          </w:p>
        </w:tc>
        <w:tc>
          <w:tcPr>
            <w:tcW w:type="dxa" w:w="6240"/>
            <w:tcMar>
              <w:top w:type="dxa" w:w="80"/>
              <w:left w:type="dxa" w:w="110"/>
              <w:bottom w:type="dxa" w:w="80"/>
              <w:right w:type="dxa" w:w="110"/>
            </w:tcMar>
          </w:tcPr>
          <w:p>
            <w:r>
              <w:rPr>
                <w:sz w:val="18"/>
                <w:szCs w:val="18"/>
              </w:rPr>
              <w:t xml:space="preserve">nyserda.ny.gov/FlexTech, including the consultant list</w:t>
            </w:r>
          </w:p>
        </w:tc>
      </w:tr>
      <w:tr>
        <w:trPr>
          <w:tblHeader w:val="false"/>
        </w:trPr>
        <w:tc>
          <w:tcPr>
            <w:tcW w:type="dxa" w:w="3120"/>
            <w:tcMar>
              <w:top w:type="dxa" w:w="80"/>
              <w:left w:type="dxa" w:w="110"/>
              <w:bottom w:type="dxa" w:w="80"/>
              <w:right w:type="dxa" w:w="110"/>
            </w:tcMar>
          </w:tcPr>
          <w:p>
            <w:r>
              <w:rPr>
                <w:sz w:val="18"/>
                <w:szCs w:val="18"/>
              </w:rPr>
              <w:t xml:space="preserve">P-12 Clean Green Schools</w:t>
            </w:r>
          </w:p>
        </w:tc>
        <w:tc>
          <w:tcPr>
            <w:tcW w:type="dxa" w:w="6240"/>
            <w:tcMar>
              <w:top w:type="dxa" w:w="80"/>
              <w:left w:type="dxa" w:w="110"/>
              <w:bottom w:type="dxa" w:w="80"/>
              <w:right w:type="dxa" w:w="110"/>
            </w:tcMar>
          </w:tcPr>
          <w:p>
            <w:r>
              <w:rPr>
                <w:sz w:val="18"/>
                <w:szCs w:val="18"/>
              </w:rPr>
              <w:t xml:space="preserve">nyserda.ny.gov/P-12-Clean-Green-Schools</w:t>
            </w:r>
          </w:p>
        </w:tc>
      </w:tr>
      <w:tr>
        <w:trPr>
          <w:tblHeader w:val="false"/>
        </w:trPr>
        <w:tc>
          <w:tcPr>
            <w:tcW w:type="dxa" w:w="3120"/>
            <w:tcMar>
              <w:top w:type="dxa" w:w="80"/>
              <w:left w:type="dxa" w:w="110"/>
              <w:bottom w:type="dxa" w:w="80"/>
              <w:right w:type="dxa" w:w="110"/>
            </w:tcMar>
          </w:tcPr>
          <w:p>
            <w:r>
              <w:rPr>
                <w:sz w:val="18"/>
                <w:szCs w:val="18"/>
              </w:rPr>
              <w:t xml:space="preserve">Head office</w:t>
            </w:r>
          </w:p>
        </w:tc>
        <w:tc>
          <w:tcPr>
            <w:tcW w:type="dxa" w:w="6240"/>
            <w:tcMar>
              <w:top w:type="dxa" w:w="80"/>
              <w:left w:type="dxa" w:w="110"/>
              <w:bottom w:type="dxa" w:w="80"/>
              <w:right w:type="dxa" w:w="110"/>
            </w:tcMar>
          </w:tcPr>
          <w:p>
            <w:r>
              <w:rPr>
                <w:sz w:val="18"/>
                <w:szCs w:val="18"/>
              </w:rPr>
              <w:t xml:space="preserve">17 Columbia Circle, Albany, New York 12203-6399. 518 862 1090, or 866 NYSERDA toll free</w:t>
            </w:r>
          </w:p>
        </w:tc>
      </w:tr>
      <w:tr>
        <w:trPr>
          <w:tblHeader w:val="false"/>
        </w:trPr>
        <w:tc>
          <w:tcPr>
            <w:tcW w:type="dxa" w:w="3120"/>
            <w:tcMar>
              <w:top w:type="dxa" w:w="80"/>
              <w:left w:type="dxa" w:w="110"/>
              <w:bottom w:type="dxa" w:w="80"/>
              <w:right w:type="dxa" w:w="110"/>
            </w:tcMar>
          </w:tcPr>
          <w:p>
            <w:r>
              <w:rPr>
                <w:sz w:val="18"/>
                <w:szCs w:val="18"/>
              </w:rPr>
              <w:t xml:space="preserve">Leadership</w:t>
            </w:r>
          </w:p>
        </w:tc>
        <w:tc>
          <w:tcPr>
            <w:tcW w:type="dxa" w:w="6240"/>
            <w:tcMar>
              <w:top w:type="dxa" w:w="80"/>
              <w:left w:type="dxa" w:w="110"/>
              <w:bottom w:type="dxa" w:w="80"/>
              <w:right w:type="dxa" w:w="110"/>
            </w:tcMar>
          </w:tcPr>
          <w:p>
            <w:r>
              <w:rPr>
                <w:sz w:val="18"/>
                <w:szCs w:val="18"/>
              </w:rPr>
              <w:t xml:space="preserve">Doreen M. Harris, President and Chief Executive Officer. Charles Bell, Acting Chair</w:t>
            </w:r>
          </w:p>
        </w:tc>
      </w:tr>
    </w:tbl>
    <w:p>
      <w:pPr>
        <w:spacing w:after="200" w:before="80"/>
      </w:pPr>
      <w:r>
        <w:rPr>
          <w:i/>
          <w:iCs/>
          <w:color w:val="666666"/>
          <w:sz w:val="17"/>
          <w:szCs w:val="17"/>
        </w:rPr>
        <w:t xml:space="preserve">Source: nyserda.ny.gov, read 30 July 2026.</w:t>
      </w:r>
    </w:p>
    <w:p>
      <w:pPr>
        <w:pBdr>
          <w:bottom w:val="single" w:color="CCCCCC" w:sz="6" w:space="1"/>
        </w:pBdr>
        <w:spacing w:after="200" w:before="120"/>
      </w:pPr>
      <w:r>
        <w:rPr>
          <w:sz w:val="2"/>
          <w:szCs w:val="2"/>
        </w:rPr>
        <w:t xml:space="preserve"/>
      </w:r>
    </w:p>
    <w:p>
      <w:pPr>
        <w:pStyle w:val="Heading1"/>
        <w:spacing w:after="160" w:before="360"/>
      </w:pPr>
      <w:r>
        <w:rPr>
          <w:b/>
          <w:bCs/>
          <w:color w:val="222222"/>
          <w:sz w:val="30"/>
          <w:szCs w:val="30"/>
        </w:rPr>
        <w:t xml:space="preserve">14. Verification list</w:t>
      </w:r>
    </w:p>
    <w:p>
      <w:pPr>
        <w:spacing w:after="140"/>
      </w:pPr>
      <w:r>
        <w:rPr>
          <w:sz w:val="21"/>
          <w:szCs w:val="21"/>
        </w:rPr>
        <w:t xml:space="preserve">Items to confirm directly with NYSERDA rather than from the website, in the order they affect decisions.</w:t>
      </w:r>
    </w:p>
    <w:p>
      <w:pPr>
        <w:pStyle w:val="ListParagraph"/>
        <w:numPr>
          <w:ilvl w:val="0"/>
          <w:numId w:val="2"/>
        </w:numPr>
        <w:spacing w:after="90"/>
      </w:pPr>
      <w:r>
        <w:rPr>
          <w:sz w:val="21"/>
          <w:szCs w:val="21"/>
        </w:rPr>
        <w:t xml:space="preserve">Whether PON 5547 has a successor in preparation, and whether the Category 3 demonstration line for data centers survives into it.</w:t>
      </w:r>
    </w:p>
    <w:p>
      <w:pPr>
        <w:pStyle w:val="ListParagraph"/>
        <w:numPr>
          <w:ilvl w:val="0"/>
          <w:numId w:val="2"/>
        </w:numPr>
        <w:spacing w:after="90"/>
      </w:pPr>
      <w:r>
        <w:rPr>
          <w:sz w:val="21"/>
          <w:szCs w:val="21"/>
        </w:rPr>
        <w:t xml:space="preserve">Whether the P-12 Clean Green Schools Track II round three, signalled for early 2026, has opened, been deferred, or been dropped.</w:t>
      </w:r>
    </w:p>
    <w:p>
      <w:pPr>
        <w:pStyle w:val="ListParagraph"/>
        <w:numPr>
          <w:ilvl w:val="0"/>
          <w:numId w:val="2"/>
        </w:numPr>
        <w:spacing w:after="90"/>
      </w:pPr>
      <w:r>
        <w:rPr>
          <w:sz w:val="21"/>
          <w:szCs w:val="21"/>
        </w:rPr>
        <w:t xml:space="preserve">Whether Track I planning enrollment has reopened since 30 December 2025.</w:t>
      </w:r>
    </w:p>
    <w:p>
      <w:pPr>
        <w:pStyle w:val="ListParagraph"/>
        <w:numPr>
          <w:ilvl w:val="0"/>
          <w:numId w:val="2"/>
        </w:numPr>
        <w:spacing w:after="90"/>
      </w:pPr>
      <w:r>
        <w:rPr>
          <w:sz w:val="21"/>
          <w:szCs w:val="21"/>
        </w:rPr>
        <w:t xml:space="preserve">The year and status of the Large-Scale Thermal Round 3 announced at a 19 March webinar, and the published ceiling for PON 5614 design awards.</w:t>
      </w:r>
    </w:p>
    <w:p>
      <w:pPr>
        <w:pStyle w:val="ListParagraph"/>
        <w:numPr>
          <w:ilvl w:val="0"/>
          <w:numId w:val="2"/>
        </w:numPr>
        <w:spacing w:after="90"/>
      </w:pPr>
      <w:r>
        <w:rPr>
          <w:sz w:val="21"/>
          <w:szCs w:val="21"/>
        </w:rPr>
        <w:t xml:space="preserve">Whether RFQL 5217 is still accepting new manufacturer submissions or is closed with a fixed published list.</w:t>
      </w:r>
    </w:p>
    <w:p>
      <w:pPr>
        <w:pStyle w:val="ListParagraph"/>
        <w:numPr>
          <w:ilvl w:val="0"/>
          <w:numId w:val="2"/>
        </w:numPr>
        <w:spacing w:after="90"/>
      </w:pPr>
      <w:r>
        <w:rPr>
          <w:sz w:val="21"/>
          <w:szCs w:val="21"/>
        </w:rPr>
        <w:t xml:space="preserve">How NYSERDA currently applies the non stackability rule where a single site carries both a thermal measure and a compute measure, since the measures are distinct but physically coupled.</w:t>
      </w:r>
    </w:p>
    <w:p>
      <w:pPr>
        <w:pStyle w:val="ListParagraph"/>
        <w:numPr>
          <w:ilvl w:val="0"/>
          <w:numId w:val="2"/>
        </w:numPr>
        <w:spacing w:after="90"/>
      </w:pPr>
      <w:r>
        <w:rPr>
          <w:sz w:val="21"/>
          <w:szCs w:val="21"/>
        </w:rPr>
        <w:t xml:space="preserve">Whether the Large-Scale Thermal new construction eligibility extends to a new thermal plant serving existing buildings.</w:t>
      </w:r>
    </w:p>
    <w:p>
      <w:pPr>
        <w:pBdr>
          <w:bottom w:val="single" w:color="CCCCCC" w:sz="6" w:space="1"/>
        </w:pBdr>
        <w:spacing w:after="200" w:before="120"/>
      </w:pPr>
      <w:r>
        <w:rPr>
          <w:sz w:val="2"/>
          <w:szCs w:val="2"/>
        </w:rPr>
        <w:t xml:space="preserve"/>
      </w:r>
    </w:p>
    <w:p>
      <w:pPr>
        <w:spacing w:after="140"/>
      </w:pPr>
      <w:r>
        <w:rPr>
          <w:i/>
          <w:iCs/>
          <w:sz w:val="21"/>
          <w:szCs w:val="21"/>
        </w:rPr>
        <w:t xml:space="preserve">End of note.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MicroLink Data Centers  |  NYSERDA heat recovery landscape  |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6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2026-07-30T05:29:13.383Z</dcterms:created>
  <dcterms:modified xsi:type="dcterms:W3CDTF">2026-07-30T05:29:13.401Z</dcterms:modified>
</cp:coreProperties>
</file>

<file path=docProps/custom.xml><?xml version="1.0" encoding="utf-8"?>
<Properties xmlns="http://schemas.openxmlformats.org/officeDocument/2006/custom-properties" xmlns:vt="http://schemas.openxmlformats.org/officeDocument/2006/docPropsVTypes"/>
</file>