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B02020"/>
          <w:spacing w:val="40"/>
          <w:sz w:val="18"/>
          <w:szCs w:val="18"/>
        </w:rPr>
        <w:t xml:space="preserve">MICROLINK DATA CENTERS</w:t>
      </w:r>
    </w:p>
    <w:p>
      <w:pPr>
        <w:spacing w:after="80"/>
      </w:pPr>
      <w:r>
        <w:rPr>
          <w:b/>
          <w:bCs/>
          <w:color w:val="222222"/>
          <w:sz w:val="50"/>
          <w:szCs w:val="50"/>
        </w:rPr>
        <w:t xml:space="preserve">NYSERDA and New York State</w:t>
      </w:r>
    </w:p>
    <w:p>
      <w:pPr>
        <w:spacing w:after="240"/>
      </w:pPr>
      <w:r>
        <w:rPr>
          <w:color w:val="555555"/>
          <w:sz w:val="28"/>
          <w:szCs w:val="28"/>
        </w:rPr>
        <w:t xml:space="preserve">Programs, Regulation and Funding Mapped to the MicroLink Pipeline</w:t>
      </w:r>
    </w:p>
    <w:p>
      <w:pPr>
        <w:spacing w:after="40"/>
      </w:pPr>
      <w:r>
        <w:rPr>
          <w:b/>
          <w:bCs/>
          <w:sz w:val="21"/>
          <w:szCs w:val="21"/>
        </w:rPr>
        <w:t xml:space="preserve">Research note. Position as at 30 July 2026. Supersedes the heat recovery note of the same date.</w:t>
      </w:r>
    </w:p>
    <w:p>
      <w:pPr>
        <w:spacing w:after="140"/>
      </w:pPr>
      <w:r>
        <w:rPr>
          <w:sz w:val="21"/>
          <w:szCs w:val="21"/>
        </w:rPr>
        <w:t xml:space="preserve">Compiled from the NYSERDA website and program documents, the NYSERDA solicitation portal, the Governor’s office, the New York Senate, four law firm analyses of the data center legislation, and trade press. Every figure and date is attributed to the source it came from. Nothing in this note is a recommendation.</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 Flags</w:t>
      </w:r>
    </w:p>
    <w:p>
      <w:pPr>
        <w:spacing w:after="140"/>
      </w:pPr>
      <w:r>
        <w:rPr>
          <w:b/>
          <w:bCs/>
          <w:sz w:val="21"/>
          <w:szCs w:val="21"/>
        </w:rPr>
        <w:t xml:space="preserve">Six items need a decision or a check. The first is time critical.</w:t>
      </w:r>
    </w:p>
    <w:p>
      <w:pPr>
        <w:pStyle w:val="ListParagraph"/>
        <w:numPr>
          <w:ilvl w:val="0"/>
          <w:numId w:val="2"/>
        </w:numPr>
        <w:spacing w:after="90"/>
      </w:pPr>
      <w:r>
        <w:rPr>
          <w:sz w:val="21"/>
          <w:szCs w:val="21"/>
        </w:rPr>
        <w:t xml:space="preserve">Clean Green Schools is open now and closes 18 August 2026 at 3pm. Over 100 million USD is available, incentives start at 500,000 USD, and eligibility is public school districts designated Priority Districts, or public school and BOCES buildings located in a disadvantaged community. This is the round that was signalled for early 2026 and it landed in April. Nineteen days remain from the date of this note.</w:t>
      </w:r>
    </w:p>
    <w:p>
      <w:pPr>
        <w:pStyle w:val="ListParagraph"/>
        <w:numPr>
          <w:ilvl w:val="0"/>
          <w:numId w:val="2"/>
        </w:numPr>
        <w:spacing w:after="90"/>
      </w:pPr>
      <w:r>
        <w:rPr>
          <w:sz w:val="21"/>
          <w:szCs w:val="21"/>
        </w:rPr>
        <w:t xml:space="preserve">The statutory efficiency goals for New York data centers must include a focus on waste heat recovery and reuse, and NYSERDA is one of the four bodies named to set them, alongside the Public Service Commission, the Climate Action Council and the bulk system operator, within one year of the Act taking effect. That places MicroLink’s core technical claim inside the state’s own compliance machinery rather than outside it.</w:t>
      </w:r>
    </w:p>
    <w:p>
      <w:pPr>
        <w:pStyle w:val="ListParagraph"/>
        <w:numPr>
          <w:ilvl w:val="0"/>
          <w:numId w:val="2"/>
        </w:numPr>
        <w:spacing w:after="90"/>
      </w:pPr>
      <w:r>
        <w:rPr>
          <w:sz w:val="21"/>
          <w:szCs w:val="21"/>
        </w:rPr>
        <w:t xml:space="preserve">The moratorium threshold is 20 MW peak demand, the Article 19 obligations reach down to 5 MW, and the statutory definition of a data center starts at 1 MW. Unit and pod sizing now has regulatory consequences, not just commercial ones.</w:t>
      </w:r>
    </w:p>
    <w:p>
      <w:pPr>
        <w:pStyle w:val="ListParagraph"/>
        <w:numPr>
          <w:ilvl w:val="0"/>
          <w:numId w:val="2"/>
        </w:numPr>
        <w:spacing w:after="90"/>
      </w:pPr>
      <w:r>
        <w:rPr>
          <w:sz w:val="21"/>
          <w:szCs w:val="21"/>
        </w:rPr>
        <w:t xml:space="preserve">The Heat Recovery Program is closed. Both open enrollment and competitive demonstration windows have passed and the program page carries no application route. The 2 million USD data center demonstration line that circulates in trade press is from September 2024.</w:t>
      </w:r>
    </w:p>
    <w:p>
      <w:pPr>
        <w:pStyle w:val="ListParagraph"/>
        <w:numPr>
          <w:ilvl w:val="0"/>
          <w:numId w:val="2"/>
        </w:numPr>
        <w:spacing w:after="90"/>
      </w:pPr>
      <w:r>
        <w:rPr>
          <w:sz w:val="21"/>
          <w:szCs w:val="21"/>
        </w:rPr>
        <w:t xml:space="preserve">The Innovation for Affordable Building Electrification round, 15 million USD, closed on 23 July 2026, seven days before this note. Its scope covered controlling energy use, load flexibility and emissions in existing buildings, which is the closest recent fit to the distributed architecture. Missing it by a week is worth logging for the next cycle.</w:t>
      </w:r>
    </w:p>
    <w:p>
      <w:pPr>
        <w:pStyle w:val="ListParagraph"/>
        <w:numPr>
          <w:ilvl w:val="0"/>
          <w:numId w:val="2"/>
        </w:numPr>
        <w:spacing w:after="90"/>
      </w:pPr>
      <w:r>
        <w:rPr>
          <w:sz w:val="21"/>
          <w:szCs w:val="21"/>
        </w:rPr>
        <w:t xml:space="preserve">Non stackability applies across the whole estate. A measure funded by one Clean Energy Fund program or by a utility incentive cannot be funded again for the same measures and activities. Sequencing across programs has to be planned, not improvised.</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2. Scope and method</w:t>
      </w:r>
    </w:p>
    <w:p>
      <w:pPr>
        <w:spacing w:after="140"/>
      </w:pPr>
      <w:r>
        <w:rPr>
          <w:sz w:val="21"/>
          <w:szCs w:val="21"/>
        </w:rPr>
        <w:t xml:space="preserve">This note covers two things the earlier heat recovery note did not: the New York regulatory position on data centers as it stands after June 2026, and the whole NYSERDA program estate mapped against each MicroLink New York workstream.</w:t>
      </w:r>
    </w:p>
    <w:p>
      <w:pPr>
        <w:spacing w:after="80" w:before="160"/>
      </w:pPr>
      <w:r>
        <w:rPr>
          <w:b/>
          <w:bCs/>
          <w:sz w:val="21"/>
          <w:szCs w:val="21"/>
        </w:rPr>
        <w:t xml:space="preserve">Coverage boundary</w:t>
      </w:r>
    </w:p>
    <w:p>
      <w:pPr>
        <w:spacing w:after="140"/>
      </w:pPr>
      <w:r>
        <w:rPr>
          <w:sz w:val="21"/>
          <w:szCs w:val="21"/>
        </w:rPr>
        <w:t xml:space="preserve">NYSERDA funds New York State only. Mansfield in Ohio, the Philadelphia sites at Grays Ferry and the river site, the Pennsylvania water neutral campus, and Pittsburgh are outside its reach and are marked as such in section 8 rather than omitted, because the integration workshop location decision sits across that boundary.</w:t>
      </w:r>
    </w:p>
    <w:p>
      <w:pPr>
        <w:spacing w:after="80" w:before="160"/>
      </w:pPr>
      <w:r>
        <w:rPr>
          <w:b/>
          <w:bCs/>
          <w:sz w:val="21"/>
          <w:szCs w:val="21"/>
        </w:rPr>
        <w:t xml:space="preserve">What could not be verified</w:t>
      </w:r>
    </w:p>
    <w:p>
      <w:pPr>
        <w:pStyle w:val="ListParagraph"/>
        <w:numPr>
          <w:ilvl w:val="0"/>
          <w:numId w:val="2"/>
        </w:numPr>
        <w:spacing w:after="90"/>
      </w:pPr>
      <w:r>
        <w:rPr>
          <w:sz w:val="21"/>
          <w:szCs w:val="21"/>
        </w:rPr>
        <w:t xml:space="preserve">The current solicitations register runs off a Salesforce portal that could not be enumerated. Open and closed status is inferred from program pages, announcement dates and published deadlines.</w:t>
      </w:r>
    </w:p>
    <w:p>
      <w:pPr>
        <w:pStyle w:val="ListParagraph"/>
        <w:numPr>
          <w:ilvl w:val="0"/>
          <w:numId w:val="2"/>
        </w:numPr>
        <w:spacing w:after="90"/>
      </w:pPr>
      <w:r>
        <w:rPr>
          <w:sz w:val="21"/>
          <w:szCs w:val="21"/>
        </w:rPr>
        <w:t xml:space="preserve">Whether the Governor has signed the Responsible Data Center Development Act. As at the most recent analysis read, no position had been announced.</w:t>
      </w:r>
    </w:p>
    <w:p>
      <w:pPr>
        <w:pStyle w:val="ListParagraph"/>
        <w:numPr>
          <w:ilvl w:val="0"/>
          <w:numId w:val="2"/>
        </w:numPr>
        <w:spacing w:after="90"/>
      </w:pPr>
      <w:r>
        <w:rPr>
          <w:sz w:val="21"/>
          <w:szCs w:val="21"/>
        </w:rPr>
        <w:t xml:space="preserve">Whether a successor to the Heat Recovery Program is in preparation.</w:t>
      </w:r>
    </w:p>
    <w:p>
      <w:pPr>
        <w:pStyle w:val="ListParagraph"/>
        <w:numPr>
          <w:ilvl w:val="0"/>
          <w:numId w:val="2"/>
        </w:numPr>
        <w:spacing w:after="90"/>
      </w:pPr>
      <w:r>
        <w:rPr>
          <w:sz w:val="21"/>
          <w:szCs w:val="21"/>
        </w:rPr>
        <w:t xml:space="preserve">The year of the Large-Scale Thermal Round 3 referred to in a 19 March webinar. The page does not carry it.</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3. Live and recent deadlines</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2500"/>
        <w:gridCol w:w="1500"/>
        <w:gridCol w:w="1600"/>
        <w:gridCol w:w="3760"/>
      </w:tblGrid>
      <w:tr>
        <w:trPr>
          <w:tblHeader/>
        </w:trPr>
        <w:tc>
          <w:tcPr>
            <w:tcW w:type="dxa" w:w="2500"/>
            <w:shd w:fill="F2F2F2" w:color="auto" w:val="clear"/>
            <w:tcMar>
              <w:top w:type="dxa" w:w="80"/>
              <w:left w:type="dxa" w:w="110"/>
              <w:bottom w:type="dxa" w:w="80"/>
              <w:right w:type="dxa" w:w="110"/>
            </w:tcMar>
          </w:tcPr>
          <w:p>
            <w:r>
              <w:rPr>
                <w:b/>
                <w:bCs/>
                <w:sz w:val="18"/>
                <w:szCs w:val="18"/>
              </w:rPr>
              <w:t xml:space="preserve">Opportunity</w:t>
            </w:r>
          </w:p>
        </w:tc>
        <w:tc>
          <w:tcPr>
            <w:tcW w:type="dxa" w:w="1500"/>
            <w:shd w:fill="F2F2F2" w:color="auto" w:val="clear"/>
            <w:tcMar>
              <w:top w:type="dxa" w:w="80"/>
              <w:left w:type="dxa" w:w="110"/>
              <w:bottom w:type="dxa" w:w="80"/>
              <w:right w:type="dxa" w:w="110"/>
            </w:tcMar>
          </w:tcPr>
          <w:p>
            <w:r>
              <w:rPr>
                <w:b/>
                <w:bCs/>
                <w:sz w:val="18"/>
                <w:szCs w:val="18"/>
              </w:rPr>
              <w:t xml:space="preserve">Amount</w:t>
            </w:r>
          </w:p>
        </w:tc>
        <w:tc>
          <w:tcPr>
            <w:tcW w:type="dxa" w:w="1600"/>
            <w:shd w:fill="F2F2F2" w:color="auto" w:val="clear"/>
            <w:tcMar>
              <w:top w:type="dxa" w:w="80"/>
              <w:left w:type="dxa" w:w="110"/>
              <w:bottom w:type="dxa" w:w="80"/>
              <w:right w:type="dxa" w:w="110"/>
            </w:tcMar>
          </w:tcPr>
          <w:p>
            <w:r>
              <w:rPr>
                <w:b/>
                <w:bCs/>
                <w:sz w:val="18"/>
                <w:szCs w:val="18"/>
              </w:rPr>
              <w:t xml:space="preserve">Deadline</w:t>
            </w:r>
          </w:p>
        </w:tc>
        <w:tc>
          <w:tcPr>
            <w:tcW w:type="dxa" w:w="3760"/>
            <w:shd w:fill="F2F2F2" w:color="auto" w:val="clear"/>
            <w:tcMar>
              <w:top w:type="dxa" w:w="80"/>
              <w:left w:type="dxa" w:w="110"/>
              <w:bottom w:type="dxa" w:w="80"/>
              <w:right w:type="dxa" w:w="110"/>
            </w:tcMar>
          </w:tcPr>
          <w:p>
            <w:r>
              <w:rPr>
                <w:b/>
                <w:bCs/>
                <w:sz w:val="18"/>
                <w:szCs w:val="18"/>
              </w:rPr>
              <w:t xml:space="preserve">Status and note</w:t>
            </w:r>
          </w:p>
        </w:tc>
      </w:tr>
      <w:tr>
        <w:trPr>
          <w:tblHeader w:val="false"/>
        </w:trPr>
        <w:tc>
          <w:tcPr>
            <w:tcW w:type="dxa" w:w="2500"/>
            <w:tcMar>
              <w:top w:type="dxa" w:w="80"/>
              <w:left w:type="dxa" w:w="110"/>
              <w:bottom w:type="dxa" w:w="80"/>
              <w:right w:type="dxa" w:w="110"/>
            </w:tcMar>
          </w:tcPr>
          <w:p>
            <w:r>
              <w:rPr>
                <w:sz w:val="18"/>
                <w:szCs w:val="18"/>
              </w:rPr>
              <w:t xml:space="preserve">Clean Green Schools Initiative</w:t>
            </w:r>
          </w:p>
        </w:tc>
        <w:tc>
          <w:tcPr>
            <w:tcW w:type="dxa" w:w="1500"/>
            <w:tcMar>
              <w:top w:type="dxa" w:w="80"/>
              <w:left w:type="dxa" w:w="110"/>
              <w:bottom w:type="dxa" w:w="80"/>
              <w:right w:type="dxa" w:w="110"/>
            </w:tcMar>
          </w:tcPr>
          <w:p>
            <w:r>
              <w:rPr>
                <w:sz w:val="18"/>
                <w:szCs w:val="18"/>
              </w:rPr>
              <w:t xml:space="preserve">Over 100,000,000 USD</w:t>
            </w:r>
          </w:p>
        </w:tc>
        <w:tc>
          <w:tcPr>
            <w:tcW w:type="dxa" w:w="1600"/>
            <w:tcMar>
              <w:top w:type="dxa" w:w="80"/>
              <w:left w:type="dxa" w:w="110"/>
              <w:bottom w:type="dxa" w:w="80"/>
              <w:right w:type="dxa" w:w="110"/>
            </w:tcMar>
          </w:tcPr>
          <w:p>
            <w:r>
              <w:rPr>
                <w:sz w:val="18"/>
                <w:szCs w:val="18"/>
              </w:rPr>
              <w:t xml:space="preserve">18 Aug 2026, 3pm</w:t>
            </w:r>
          </w:p>
        </w:tc>
        <w:tc>
          <w:tcPr>
            <w:tcW w:type="dxa" w:w="3760"/>
            <w:tcMar>
              <w:top w:type="dxa" w:w="80"/>
              <w:left w:type="dxa" w:w="110"/>
              <w:bottom w:type="dxa" w:w="80"/>
              <w:right w:type="dxa" w:w="110"/>
            </w:tcMar>
          </w:tcPr>
          <w:p>
            <w:r>
              <w:rPr>
                <w:sz w:val="18"/>
                <w:szCs w:val="18"/>
              </w:rPr>
              <w:t xml:space="preserve">OPEN. Incentives from 500,000 USD. Priority Districts or buildings in a disadvantaged community, including BOCES</w:t>
            </w:r>
          </w:p>
        </w:tc>
      </w:tr>
      <w:tr>
        <w:trPr>
          <w:tblHeader w:val="false"/>
        </w:trPr>
        <w:tc>
          <w:tcPr>
            <w:tcW w:type="dxa" w:w="2500"/>
            <w:tcMar>
              <w:top w:type="dxa" w:w="80"/>
              <w:left w:type="dxa" w:w="110"/>
              <w:bottom w:type="dxa" w:w="80"/>
              <w:right w:type="dxa" w:w="110"/>
            </w:tcMar>
          </w:tcPr>
          <w:p>
            <w:r>
              <w:rPr>
                <w:sz w:val="18"/>
                <w:szCs w:val="18"/>
              </w:rPr>
              <w:t xml:space="preserve">Alternative fuel solutions</w:t>
            </w:r>
          </w:p>
        </w:tc>
        <w:tc>
          <w:tcPr>
            <w:tcW w:type="dxa" w:w="1500"/>
            <w:tcMar>
              <w:top w:type="dxa" w:w="80"/>
              <w:left w:type="dxa" w:w="110"/>
              <w:bottom w:type="dxa" w:w="80"/>
              <w:right w:type="dxa" w:w="110"/>
            </w:tcMar>
          </w:tcPr>
          <w:p>
            <w:r>
              <w:rPr>
                <w:sz w:val="18"/>
                <w:szCs w:val="18"/>
              </w:rPr>
              <w:t xml:space="preserve">8,000,000 USD</w:t>
            </w:r>
          </w:p>
        </w:tc>
        <w:tc>
          <w:tcPr>
            <w:tcW w:type="dxa" w:w="1600"/>
            <w:tcMar>
              <w:top w:type="dxa" w:w="80"/>
              <w:left w:type="dxa" w:w="110"/>
              <w:bottom w:type="dxa" w:w="80"/>
              <w:right w:type="dxa" w:w="110"/>
            </w:tcMar>
          </w:tcPr>
          <w:p>
            <w:r>
              <w:rPr>
                <w:sz w:val="18"/>
                <w:szCs w:val="18"/>
              </w:rPr>
              <w:t xml:space="preserve">28 Sep 2026, 3pm</w:t>
            </w:r>
          </w:p>
        </w:tc>
        <w:tc>
          <w:tcPr>
            <w:tcW w:type="dxa" w:w="3760"/>
            <w:tcMar>
              <w:top w:type="dxa" w:w="80"/>
              <w:left w:type="dxa" w:w="110"/>
              <w:bottom w:type="dxa" w:w="80"/>
              <w:right w:type="dxa" w:w="110"/>
            </w:tcMar>
          </w:tcPr>
          <w:p>
            <w:r>
              <w:rPr>
                <w:sz w:val="18"/>
                <w:szCs w:val="18"/>
              </w:rPr>
              <w:t xml:space="preserve">OPEN. Optional letter of intent by 7 Sep 2026. Minimum 50 per cent cost share from non NYSERDA sources</w:t>
            </w:r>
          </w:p>
        </w:tc>
      </w:tr>
      <w:tr>
        <w:trPr>
          <w:tblHeader w:val="false"/>
        </w:trPr>
        <w:tc>
          <w:tcPr>
            <w:tcW w:type="dxa" w:w="2500"/>
            <w:tcMar>
              <w:top w:type="dxa" w:w="80"/>
              <w:left w:type="dxa" w:w="110"/>
              <w:bottom w:type="dxa" w:w="80"/>
              <w:right w:type="dxa" w:w="110"/>
            </w:tcMar>
          </w:tcPr>
          <w:p>
            <w:r>
              <w:rPr>
                <w:sz w:val="18"/>
                <w:szCs w:val="18"/>
              </w:rPr>
              <w:t xml:space="preserve">Grid Enhancing Technologies</w:t>
            </w:r>
          </w:p>
        </w:tc>
        <w:tc>
          <w:tcPr>
            <w:tcW w:type="dxa" w:w="1500"/>
            <w:tcMar>
              <w:top w:type="dxa" w:w="80"/>
              <w:left w:type="dxa" w:w="110"/>
              <w:bottom w:type="dxa" w:w="80"/>
              <w:right w:type="dxa" w:w="110"/>
            </w:tcMar>
          </w:tcPr>
          <w:p>
            <w:r>
              <w:rPr>
                <w:sz w:val="18"/>
                <w:szCs w:val="18"/>
              </w:rPr>
              <w:t xml:space="preserve">24,000,000 USD</w:t>
            </w:r>
          </w:p>
        </w:tc>
        <w:tc>
          <w:tcPr>
            <w:tcW w:type="dxa" w:w="1600"/>
            <w:tcMar>
              <w:top w:type="dxa" w:w="80"/>
              <w:left w:type="dxa" w:w="110"/>
              <w:bottom w:type="dxa" w:w="80"/>
              <w:right w:type="dxa" w:w="110"/>
            </w:tcMar>
          </w:tcPr>
          <w:p>
            <w:r>
              <w:rPr>
                <w:sz w:val="18"/>
                <w:szCs w:val="18"/>
              </w:rPr>
              <w:t xml:space="preserve">Two step process</w:t>
            </w:r>
          </w:p>
        </w:tc>
        <w:tc>
          <w:tcPr>
            <w:tcW w:type="dxa" w:w="3760"/>
            <w:tcMar>
              <w:top w:type="dxa" w:w="80"/>
              <w:left w:type="dxa" w:w="110"/>
              <w:bottom w:type="dxa" w:w="80"/>
              <w:right w:type="dxa" w:w="110"/>
            </w:tcMar>
          </w:tcPr>
          <w:p>
            <w:r>
              <w:rPr>
                <w:sz w:val="18"/>
                <w:szCs w:val="18"/>
              </w:rPr>
              <w:t xml:space="preserve">OPEN. Concept papers first, then invited full proposals. Announced 25 Jun 2026</w:t>
            </w:r>
          </w:p>
        </w:tc>
      </w:tr>
      <w:tr>
        <w:trPr>
          <w:tblHeader w:val="false"/>
        </w:trPr>
        <w:tc>
          <w:tcPr>
            <w:tcW w:type="dxa" w:w="2500"/>
            <w:tcMar>
              <w:top w:type="dxa" w:w="80"/>
              <w:left w:type="dxa" w:w="110"/>
              <w:bottom w:type="dxa" w:w="80"/>
              <w:right w:type="dxa" w:w="110"/>
            </w:tcMar>
          </w:tcPr>
          <w:p>
            <w:r>
              <w:rPr>
                <w:sz w:val="18"/>
                <w:szCs w:val="18"/>
              </w:rPr>
              <w:t xml:space="preserve">Large-Scale Thermal design, PON 5614</w:t>
            </w:r>
          </w:p>
        </w:tc>
        <w:tc>
          <w:tcPr>
            <w:tcW w:type="dxa" w:w="1500"/>
            <w:tcMar>
              <w:top w:type="dxa" w:w="80"/>
              <w:left w:type="dxa" w:w="110"/>
              <w:bottom w:type="dxa" w:w="80"/>
              <w:right w:type="dxa" w:w="110"/>
            </w:tcMar>
          </w:tcPr>
          <w:p>
            <w:r>
              <w:rPr>
                <w:sz w:val="18"/>
                <w:szCs w:val="18"/>
              </w:rPr>
              <w:t xml:space="preserve">Not published</w:t>
            </w:r>
          </w:p>
        </w:tc>
        <w:tc>
          <w:tcPr>
            <w:tcW w:type="dxa" w:w="1600"/>
            <w:tcMar>
              <w:top w:type="dxa" w:w="80"/>
              <w:left w:type="dxa" w:w="110"/>
              <w:bottom w:type="dxa" w:w="80"/>
              <w:right w:type="dxa" w:w="110"/>
            </w:tcMar>
          </w:tcPr>
          <w:p>
            <w:r>
              <w:rPr>
                <w:sz w:val="18"/>
                <w:szCs w:val="18"/>
              </w:rPr>
              <w:t xml:space="preserve">Round 3 announced</w:t>
            </w:r>
          </w:p>
        </w:tc>
        <w:tc>
          <w:tcPr>
            <w:tcW w:type="dxa" w:w="3760"/>
            <w:tcMar>
              <w:top w:type="dxa" w:w="80"/>
              <w:left w:type="dxa" w:w="110"/>
              <w:bottom w:type="dxa" w:w="80"/>
              <w:right w:type="dxa" w:w="110"/>
            </w:tcMar>
          </w:tcPr>
          <w:p>
            <w:r>
              <w:rPr>
                <w:sz w:val="18"/>
                <w:szCs w:val="18"/>
              </w:rPr>
              <w:t xml:space="preserve">Open on the program page. Feasibility stage runs through FlexTech first</w:t>
            </w:r>
          </w:p>
        </w:tc>
      </w:tr>
      <w:tr>
        <w:trPr>
          <w:tblHeader w:val="false"/>
        </w:trPr>
        <w:tc>
          <w:tcPr>
            <w:tcW w:type="dxa" w:w="2500"/>
            <w:tcMar>
              <w:top w:type="dxa" w:w="80"/>
              <w:left w:type="dxa" w:w="110"/>
              <w:bottom w:type="dxa" w:w="80"/>
              <w:right w:type="dxa" w:w="110"/>
            </w:tcMar>
          </w:tcPr>
          <w:p>
            <w:r>
              <w:rPr>
                <w:sz w:val="18"/>
                <w:szCs w:val="18"/>
              </w:rPr>
              <w:t xml:space="preserve">FlexTech, PON 4192</w:t>
            </w:r>
          </w:p>
        </w:tc>
        <w:tc>
          <w:tcPr>
            <w:tcW w:type="dxa" w:w="1500"/>
            <w:tcMar>
              <w:top w:type="dxa" w:w="80"/>
              <w:left w:type="dxa" w:w="110"/>
              <w:bottom w:type="dxa" w:w="80"/>
              <w:right w:type="dxa" w:w="110"/>
            </w:tcMar>
          </w:tcPr>
          <w:p>
            <w:r>
              <w:rPr>
                <w:sz w:val="18"/>
                <w:szCs w:val="18"/>
              </w:rPr>
              <w:t xml:space="preserve">Up to 500,000 USD per project</w:t>
            </w:r>
          </w:p>
        </w:tc>
        <w:tc>
          <w:tcPr>
            <w:tcW w:type="dxa" w:w="1600"/>
            <w:tcMar>
              <w:top w:type="dxa" w:w="80"/>
              <w:left w:type="dxa" w:w="110"/>
              <w:bottom w:type="dxa" w:w="80"/>
              <w:right w:type="dxa" w:w="110"/>
            </w:tcMar>
          </w:tcPr>
          <w:p>
            <w:r>
              <w:rPr>
                <w:sz w:val="18"/>
                <w:szCs w:val="18"/>
              </w:rPr>
              <w:t xml:space="preserve">Rolling</w:t>
            </w:r>
          </w:p>
        </w:tc>
        <w:tc>
          <w:tcPr>
            <w:tcW w:type="dxa" w:w="3760"/>
            <w:tcMar>
              <w:top w:type="dxa" w:w="80"/>
              <w:left w:type="dxa" w:w="110"/>
              <w:bottom w:type="dxa" w:w="80"/>
              <w:right w:type="dxa" w:w="110"/>
            </w:tcMar>
          </w:tcPr>
          <w:p>
            <w:r>
              <w:rPr>
                <w:sz w:val="18"/>
                <w:szCs w:val="18"/>
              </w:rPr>
              <w:t xml:space="preserve">OPEN. Thermal Energy Network Study is a named primary service</w:t>
            </w:r>
          </w:p>
        </w:tc>
      </w:tr>
      <w:tr>
        <w:trPr>
          <w:tblHeader w:val="false"/>
        </w:trPr>
        <w:tc>
          <w:tcPr>
            <w:tcW w:type="dxa" w:w="2500"/>
            <w:tcMar>
              <w:top w:type="dxa" w:w="80"/>
              <w:left w:type="dxa" w:w="110"/>
              <w:bottom w:type="dxa" w:w="80"/>
              <w:right w:type="dxa" w:w="110"/>
            </w:tcMar>
          </w:tcPr>
          <w:p>
            <w:r>
              <w:rPr>
                <w:sz w:val="18"/>
                <w:szCs w:val="18"/>
              </w:rPr>
              <w:t xml:space="preserve">Just Transition Site Reuse, PON 4563</w:t>
            </w:r>
          </w:p>
        </w:tc>
        <w:tc>
          <w:tcPr>
            <w:tcW w:type="dxa" w:w="1500"/>
            <w:tcMar>
              <w:top w:type="dxa" w:w="80"/>
              <w:left w:type="dxa" w:w="110"/>
              <w:bottom w:type="dxa" w:w="80"/>
              <w:right w:type="dxa" w:w="110"/>
            </w:tcMar>
          </w:tcPr>
          <w:p>
            <w:r>
              <w:rPr>
                <w:sz w:val="18"/>
                <w:szCs w:val="18"/>
              </w:rPr>
              <w:t xml:space="preserve">100 per cent of planning cost</w:t>
            </w:r>
          </w:p>
        </w:tc>
        <w:tc>
          <w:tcPr>
            <w:tcW w:type="dxa" w:w="1600"/>
            <w:tcMar>
              <w:top w:type="dxa" w:w="80"/>
              <w:left w:type="dxa" w:w="110"/>
              <w:bottom w:type="dxa" w:w="80"/>
              <w:right w:type="dxa" w:w="110"/>
            </w:tcMar>
          </w:tcPr>
          <w:p>
            <w:r>
              <w:rPr>
                <w:sz w:val="18"/>
                <w:szCs w:val="18"/>
              </w:rPr>
              <w:t xml:space="preserve">Rolling</w:t>
            </w:r>
          </w:p>
        </w:tc>
        <w:tc>
          <w:tcPr>
            <w:tcW w:type="dxa" w:w="3760"/>
            <w:tcMar>
              <w:top w:type="dxa" w:w="80"/>
              <w:left w:type="dxa" w:w="110"/>
              <w:bottom w:type="dxa" w:w="80"/>
              <w:right w:type="dxa" w:w="110"/>
            </w:tcMar>
          </w:tcPr>
          <w:p>
            <w:r>
              <w:rPr>
                <w:sz w:val="18"/>
                <w:szCs w:val="18"/>
              </w:rPr>
              <w:t xml:space="preserve">OPEN to municipalities only. No cost share required of the applicant</w:t>
            </w:r>
          </w:p>
        </w:tc>
      </w:tr>
      <w:tr>
        <w:trPr>
          <w:tblHeader w:val="false"/>
        </w:trPr>
        <w:tc>
          <w:tcPr>
            <w:tcW w:type="dxa" w:w="2500"/>
            <w:tcMar>
              <w:top w:type="dxa" w:w="80"/>
              <w:left w:type="dxa" w:w="110"/>
              <w:bottom w:type="dxa" w:w="80"/>
              <w:right w:type="dxa" w:w="110"/>
            </w:tcMar>
          </w:tcPr>
          <w:p>
            <w:r>
              <w:rPr>
                <w:sz w:val="18"/>
                <w:szCs w:val="18"/>
              </w:rPr>
              <w:t xml:space="preserve">Innovation for Affordable Building Electrification</w:t>
            </w:r>
          </w:p>
        </w:tc>
        <w:tc>
          <w:tcPr>
            <w:tcW w:type="dxa" w:w="1500"/>
            <w:tcMar>
              <w:top w:type="dxa" w:w="80"/>
              <w:left w:type="dxa" w:w="110"/>
              <w:bottom w:type="dxa" w:w="80"/>
              <w:right w:type="dxa" w:w="110"/>
            </w:tcMar>
          </w:tcPr>
          <w:p>
            <w:r>
              <w:rPr>
                <w:sz w:val="18"/>
                <w:szCs w:val="18"/>
              </w:rPr>
              <w:t xml:space="preserve">15,000,000 USD</w:t>
            </w:r>
          </w:p>
        </w:tc>
        <w:tc>
          <w:tcPr>
            <w:tcW w:type="dxa" w:w="1600"/>
            <w:tcMar>
              <w:top w:type="dxa" w:w="80"/>
              <w:left w:type="dxa" w:w="110"/>
              <w:bottom w:type="dxa" w:w="80"/>
              <w:right w:type="dxa" w:w="110"/>
            </w:tcMar>
          </w:tcPr>
          <w:p>
            <w:r>
              <w:rPr>
                <w:sz w:val="18"/>
                <w:szCs w:val="18"/>
              </w:rPr>
              <w:t xml:space="preserve">23 Jul 2026</w:t>
            </w:r>
          </w:p>
        </w:tc>
        <w:tc>
          <w:tcPr>
            <w:tcW w:type="dxa" w:w="3760"/>
            <w:tcMar>
              <w:top w:type="dxa" w:w="80"/>
              <w:left w:type="dxa" w:w="110"/>
              <w:bottom w:type="dxa" w:w="80"/>
              <w:right w:type="dxa" w:w="110"/>
            </w:tcMar>
          </w:tcPr>
          <w:p>
            <w:r>
              <w:rPr>
                <w:sz w:val="18"/>
                <w:szCs w:val="18"/>
              </w:rPr>
              <w:t xml:space="preserve">CLOSED seven days before this note</w:t>
            </w:r>
          </w:p>
        </w:tc>
      </w:tr>
      <w:tr>
        <w:trPr>
          <w:tblHeader w:val="false"/>
        </w:trPr>
        <w:tc>
          <w:tcPr>
            <w:tcW w:type="dxa" w:w="2500"/>
            <w:tcMar>
              <w:top w:type="dxa" w:w="80"/>
              <w:left w:type="dxa" w:w="110"/>
              <w:bottom w:type="dxa" w:w="80"/>
              <w:right w:type="dxa" w:w="110"/>
            </w:tcMar>
          </w:tcPr>
          <w:p>
            <w:r>
              <w:rPr>
                <w:sz w:val="18"/>
                <w:szCs w:val="18"/>
              </w:rPr>
              <w:t xml:space="preserve">Heat Recovery Program, PON 5547</w:t>
            </w:r>
          </w:p>
        </w:tc>
        <w:tc>
          <w:tcPr>
            <w:tcW w:type="dxa" w:w="1500"/>
            <w:tcMar>
              <w:top w:type="dxa" w:w="80"/>
              <w:left w:type="dxa" w:w="110"/>
              <w:bottom w:type="dxa" w:w="80"/>
              <w:right w:type="dxa" w:w="110"/>
            </w:tcMar>
          </w:tcPr>
          <w:p>
            <w:r>
              <w:rPr>
                <w:sz w:val="18"/>
                <w:szCs w:val="18"/>
              </w:rPr>
              <w:t xml:space="preserve">27,000,000 USD across four categories</w:t>
            </w:r>
          </w:p>
        </w:tc>
        <w:tc>
          <w:tcPr>
            <w:tcW w:type="dxa" w:w="1600"/>
            <w:tcMar>
              <w:top w:type="dxa" w:w="80"/>
              <w:left w:type="dxa" w:w="110"/>
              <w:bottom w:type="dxa" w:w="80"/>
              <w:right w:type="dxa" w:w="110"/>
            </w:tcMar>
          </w:tcPr>
          <w:p>
            <w:r>
              <w:rPr>
                <w:sz w:val="18"/>
                <w:szCs w:val="18"/>
              </w:rPr>
              <w:t xml:space="preserve">17 Nov 2025 and 3 Jun 2025</w:t>
            </w:r>
          </w:p>
        </w:tc>
        <w:tc>
          <w:tcPr>
            <w:tcW w:type="dxa" w:w="3760"/>
            <w:tcMar>
              <w:top w:type="dxa" w:w="80"/>
              <w:left w:type="dxa" w:w="110"/>
              <w:bottom w:type="dxa" w:w="80"/>
              <w:right w:type="dxa" w:w="110"/>
            </w:tcMar>
          </w:tcPr>
          <w:p>
            <w:r>
              <w:rPr>
                <w:sz w:val="18"/>
                <w:szCs w:val="18"/>
              </w:rPr>
              <w:t xml:space="preserve">CLOSED. No application route on the program page</w:t>
            </w:r>
          </w:p>
        </w:tc>
      </w:tr>
      <w:tr>
        <w:trPr>
          <w:tblHeader w:val="false"/>
        </w:trPr>
        <w:tc>
          <w:tcPr>
            <w:tcW w:type="dxa" w:w="2500"/>
            <w:tcMar>
              <w:top w:type="dxa" w:w="80"/>
              <w:left w:type="dxa" w:w="110"/>
              <w:bottom w:type="dxa" w:w="80"/>
              <w:right w:type="dxa" w:w="110"/>
            </w:tcMar>
          </w:tcPr>
          <w:p>
            <w:r>
              <w:rPr>
                <w:sz w:val="18"/>
                <w:szCs w:val="18"/>
              </w:rPr>
              <w:t xml:space="preserve">Waste to Low-Carbon Fuels, PON 6031</w:t>
            </w:r>
          </w:p>
        </w:tc>
        <w:tc>
          <w:tcPr>
            <w:tcW w:type="dxa" w:w="1500"/>
            <w:tcMar>
              <w:top w:type="dxa" w:w="80"/>
              <w:left w:type="dxa" w:w="110"/>
              <w:bottom w:type="dxa" w:w="80"/>
              <w:right w:type="dxa" w:w="110"/>
            </w:tcMar>
          </w:tcPr>
          <w:p>
            <w:r>
              <w:rPr>
                <w:sz w:val="18"/>
                <w:szCs w:val="18"/>
              </w:rPr>
              <w:t xml:space="preserve">7,800,000 USD</w:t>
            </w:r>
          </w:p>
        </w:tc>
        <w:tc>
          <w:tcPr>
            <w:tcW w:type="dxa" w:w="1600"/>
            <w:tcMar>
              <w:top w:type="dxa" w:w="80"/>
              <w:left w:type="dxa" w:w="110"/>
              <w:bottom w:type="dxa" w:w="80"/>
              <w:right w:type="dxa" w:w="110"/>
            </w:tcMar>
          </w:tcPr>
          <w:p>
            <w:r>
              <w:rPr>
                <w:sz w:val="18"/>
                <w:szCs w:val="18"/>
              </w:rPr>
              <w:t xml:space="preserve">Closed</w:t>
            </w:r>
          </w:p>
        </w:tc>
        <w:tc>
          <w:tcPr>
            <w:tcW w:type="dxa" w:w="3760"/>
            <w:tcMar>
              <w:top w:type="dxa" w:w="80"/>
              <w:left w:type="dxa" w:w="110"/>
              <w:bottom w:type="dxa" w:w="80"/>
              <w:right w:type="dxa" w:w="110"/>
            </w:tcMar>
          </w:tcPr>
          <w:p>
            <w:r>
              <w:rPr>
                <w:sz w:val="18"/>
                <w:szCs w:val="18"/>
              </w:rPr>
              <w:t xml:space="preserve">CLOSED. Announced 20 Aug 2025</w:t>
            </w:r>
          </w:p>
        </w:tc>
      </w:tr>
    </w:tbl>
    <w:p>
      <w:pPr>
        <w:spacing w:after="200" w:before="80"/>
      </w:pPr>
      <w:r>
        <w:rPr>
          <w:i/>
          <w:iCs/>
          <w:color w:val="666666"/>
          <w:sz w:val="17"/>
          <w:szCs w:val="17"/>
        </w:rPr>
        <w:t xml:space="preserve">Source: nyserda.ny.gov 2026 announcements, program pages and solicitation records; governor.ny.gov; read 30 July 2026.</w:t>
      </w:r>
    </w:p>
    <w:p>
      <w:r>
        <w:br w:type="page"/>
      </w:r>
    </w:p>
    <w:p>
      <w:pPr>
        <w:pStyle w:val="Heading1"/>
        <w:spacing w:after="160" w:before="380"/>
      </w:pPr>
      <w:r>
        <w:rPr>
          <w:b/>
          <w:bCs/>
          <w:color w:val="222222"/>
          <w:sz w:val="30"/>
          <w:szCs w:val="30"/>
        </w:rPr>
        <w:t xml:space="preserve">4. The regulatory frame</w:t>
      </w:r>
    </w:p>
    <w:p>
      <w:pPr>
        <w:spacing w:after="140"/>
      </w:pPr>
      <w:r>
        <w:rPr>
          <w:sz w:val="21"/>
          <w:szCs w:val="21"/>
        </w:rPr>
        <w:t xml:space="preserve">This is the material change since the last note. New York has moved from having no data center specific regime to having two overlapping instruments and an active rate proceeding, all inside 2026.</w:t>
      </w:r>
    </w:p>
    <w:p>
      <w:pPr>
        <w:pStyle w:val="Heading2"/>
        <w:spacing w:after="120" w:before="280"/>
      </w:pPr>
      <w:r>
        <w:rPr>
          <w:b/>
          <w:bCs/>
          <w:color w:val="B02020"/>
          <w:sz w:val="24"/>
          <w:szCs w:val="24"/>
        </w:rPr>
        <w:t xml:space="preserve">4.1 Executive Order No. 62</w:t>
      </w:r>
    </w:p>
    <w:p>
      <w:pPr>
        <w:spacing w:after="140"/>
      </w:pPr>
      <w:r>
        <w:rPr>
          <w:sz w:val="21"/>
          <w:szCs w:val="21"/>
        </w:rPr>
        <w:t xml:space="preserve">The Governor established a temporary moratorium on data centers in New York while the state develops higher standards for data center development, together with a benefits blueprint to support localities. The order sets out the state policy position plainly: the cost of electric system upgrades required to serve large loads should not be paid for by every day New Yorkers, and load growth caused by data centers challenges the state clean energy targets and will require procurement of additional supply.</w:t>
      </w:r>
    </w:p>
    <w:p>
      <w:pPr>
        <w:spacing w:after="80" w:before="160"/>
      </w:pPr>
      <w:r>
        <w:rPr>
          <w:b/>
          <w:bCs/>
          <w:sz w:val="21"/>
          <w:szCs w:val="21"/>
        </w:rPr>
        <w:t xml:space="preserve">What the order directs</w:t>
      </w:r>
    </w:p>
    <w:p>
      <w:pPr>
        <w:pStyle w:val="ListParagraph"/>
        <w:numPr>
          <w:ilvl w:val="0"/>
          <w:numId w:val="2"/>
        </w:numPr>
        <w:spacing w:after="90"/>
      </w:pPr>
      <w:r>
        <w:rPr>
          <w:sz w:val="21"/>
          <w:szCs w:val="21"/>
        </w:rPr>
        <w:t xml:space="preserve">The Department of Public Service is directed to examine the impacts of interconnecting data centers to the electric distribution network through Case 26-E-0045, Proceeding on Motion of the Commission to Address Interconnection Reforms for Large Loads.</w:t>
      </w:r>
    </w:p>
    <w:p>
      <w:pPr>
        <w:pStyle w:val="ListParagraph"/>
        <w:numPr>
          <w:ilvl w:val="0"/>
          <w:numId w:val="2"/>
        </w:numPr>
        <w:spacing w:after="90"/>
      </w:pPr>
      <w:r>
        <w:rPr>
          <w:sz w:val="21"/>
          <w:szCs w:val="21"/>
        </w:rPr>
        <w:t xml:space="preserve">The Department of Public Service is directed to convene the state transmission owners to review their practices and methodologies for studying the system impacts of data centers and other large loads, and to report to the Commission within ninety days.</w:t>
      </w:r>
    </w:p>
    <w:p>
      <w:pPr>
        <w:pStyle w:val="ListParagraph"/>
        <w:numPr>
          <w:ilvl w:val="0"/>
          <w:numId w:val="2"/>
        </w:numPr>
        <w:spacing w:after="90"/>
      </w:pPr>
      <w:r>
        <w:rPr>
          <w:sz w:val="21"/>
          <w:szCs w:val="21"/>
        </w:rPr>
        <w:t xml:space="preserve">A permitting moratorium and a Generic Environmental Impact Statement are provided for.</w:t>
      </w:r>
    </w:p>
    <w:p>
      <w:pPr>
        <w:pStyle w:val="ListParagraph"/>
        <w:numPr>
          <w:ilvl w:val="0"/>
          <w:numId w:val="2"/>
        </w:numPr>
        <w:spacing w:after="90"/>
      </w:pPr>
      <w:r>
        <w:rPr>
          <w:sz w:val="21"/>
          <w:szCs w:val="21"/>
        </w:rPr>
        <w:t xml:space="preserve">The order sits alongside Energize NY Development, announced in the 2026 State of the State, which directs the Public Service Commission to modernise how large energy consumers including data centers connect to the grid, while ensuring those consumers pay their fair share or supply their own power.</w:t>
      </w:r>
    </w:p>
    <w:p>
      <w:pPr>
        <w:spacing w:after="140"/>
      </w:pPr>
      <w:r>
        <w:rPr>
          <w:sz w:val="21"/>
          <w:szCs w:val="21"/>
        </w:rPr>
        <w:t xml:space="preserve">That last clause is the one to hold. The state has written down, as policy, that a large load either pays its way on the network or supplies its own power. A behind the meter position is not a loophole in this framing, it is the alternative the state itself names.</w:t>
      </w:r>
    </w:p>
    <w:p>
      <w:pPr>
        <w:spacing w:after="140"/>
      </w:pPr>
      <w:r>
        <w:rPr>
          <w:sz w:val="21"/>
          <w:szCs w:val="21"/>
        </w:rPr>
        <w:t xml:space="preserve">One trade press account reports that the executive order applies to facilities of 50 MW or higher, making it broader in scope but less restrictive in threshold than the legislation. Treat the 50 MW figure as trade press rather than as read from the order text.</w:t>
      </w:r>
    </w:p>
    <w:p>
      <w:pPr>
        <w:spacing w:after="200" w:before="80"/>
      </w:pPr>
      <w:r>
        <w:rPr>
          <w:i/>
          <w:iCs/>
          <w:color w:val="666666"/>
          <w:sz w:val="17"/>
          <w:szCs w:val="17"/>
        </w:rPr>
        <w:t xml:space="preserve">Source: governor.ny.gov Executive Order No. 62; Commercial Observer, July 2026.</w:t>
      </w:r>
    </w:p>
    <w:p>
      <w:pPr>
        <w:pStyle w:val="Heading2"/>
        <w:spacing w:after="120" w:before="280"/>
      </w:pPr>
      <w:r>
        <w:rPr>
          <w:b/>
          <w:bCs/>
          <w:color w:val="B02020"/>
          <w:sz w:val="24"/>
          <w:szCs w:val="24"/>
        </w:rPr>
        <w:t xml:space="preserve">4.2 The Responsible Data Center Development Act</w:t>
      </w:r>
    </w:p>
    <w:p>
      <w:pPr>
        <w:spacing w:after="140"/>
      </w:pPr>
      <w:r>
        <w:rPr>
          <w:sz w:val="21"/>
          <w:szCs w:val="21"/>
        </w:rPr>
        <w:t xml:space="preserve">Passed by the New York State Legislature on 4 June 2026, as S10642 and A11560, clearing the Senate 44 to 16 and the Assembly 102 to 39. If signed, New York becomes the first state to enact a statewide data center moratorium. The Governor had not announced a position as at the most recent analysis read. An earlier version, Senate Bill S.9144, would have imposed a moratorium of at least three years and required a Generic Environmental Impact Statement with nine regional public hearings before the pause could lift. What passed is a one year compromise that retains and in places expands the focus on environmental review, cost allocation and community benefit.</w:t>
      </w:r>
    </w:p>
    <w:p>
      <w:pPr>
        <w:pStyle w:val="Heading3"/>
        <w:spacing w:after="100" w:before="200"/>
      </w:pPr>
      <w:r>
        <w:rPr>
          <w:b/>
          <w:bCs/>
          <w:color w:val="1F4E79"/>
          <w:sz w:val="21"/>
          <w:szCs w:val="21"/>
        </w:rPr>
        <w:t xml:space="preserve">Thresholds, which now drive unit sizing</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2400"/>
        <w:gridCol w:w="6960"/>
      </w:tblGrid>
      <w:tr>
        <w:trPr>
          <w:tblHeader/>
        </w:trPr>
        <w:tc>
          <w:tcPr>
            <w:tcW w:type="dxa" w:w="2400"/>
            <w:shd w:fill="F2F2F2" w:color="auto" w:val="clear"/>
            <w:tcMar>
              <w:top w:type="dxa" w:w="80"/>
              <w:left w:type="dxa" w:w="110"/>
              <w:bottom w:type="dxa" w:w="80"/>
              <w:right w:type="dxa" w:w="110"/>
            </w:tcMar>
          </w:tcPr>
          <w:p>
            <w:r>
              <w:rPr>
                <w:b/>
                <w:bCs/>
                <w:sz w:val="18"/>
                <w:szCs w:val="18"/>
              </w:rPr>
              <w:t xml:space="preserve">Threshold</w:t>
            </w:r>
          </w:p>
        </w:tc>
        <w:tc>
          <w:tcPr>
            <w:tcW w:type="dxa" w:w="6960"/>
            <w:shd w:fill="F2F2F2" w:color="auto" w:val="clear"/>
            <w:tcMar>
              <w:top w:type="dxa" w:w="80"/>
              <w:left w:type="dxa" w:w="110"/>
              <w:bottom w:type="dxa" w:w="80"/>
              <w:right w:type="dxa" w:w="110"/>
            </w:tcMar>
          </w:tcPr>
          <w:p>
            <w:r>
              <w:rPr>
                <w:b/>
                <w:bCs/>
                <w:sz w:val="18"/>
                <w:szCs w:val="18"/>
              </w:rPr>
              <w:t xml:space="preserve">What attaches at that level</w:t>
            </w:r>
          </w:p>
        </w:tc>
      </w:tr>
      <w:tr>
        <w:trPr>
          <w:tblHeader w:val="false"/>
        </w:trPr>
        <w:tc>
          <w:tcPr>
            <w:tcW w:type="dxa" w:w="2400"/>
            <w:tcMar>
              <w:top w:type="dxa" w:w="80"/>
              <w:left w:type="dxa" w:w="110"/>
              <w:bottom w:type="dxa" w:w="80"/>
              <w:right w:type="dxa" w:w="110"/>
            </w:tcMar>
          </w:tcPr>
          <w:p>
            <w:r>
              <w:rPr>
                <w:sz w:val="18"/>
                <w:szCs w:val="18"/>
              </w:rPr>
              <w:t xml:space="preserve">1 MW or more peak demand</w:t>
            </w:r>
          </w:p>
        </w:tc>
        <w:tc>
          <w:tcPr>
            <w:tcW w:type="dxa" w:w="6960"/>
            <w:tcMar>
              <w:top w:type="dxa" w:w="80"/>
              <w:left w:type="dxa" w:w="110"/>
              <w:bottom w:type="dxa" w:w="80"/>
              <w:right w:type="dxa" w:w="110"/>
            </w:tcMar>
          </w:tcPr>
          <w:p>
            <w:r>
              <w:rPr>
                <w:sz w:val="18"/>
                <w:szCs w:val="18"/>
              </w:rPr>
              <w:t xml:space="preserve">Statutory definition of a data center, covering a facility or combination of commonly owned or controlled facilities at the same site used for computing infrastructure, data processing, web hosting, streaming support or related services, as defined by the Public Service Commission</w:t>
            </w:r>
          </w:p>
        </w:tc>
      </w:tr>
      <w:tr>
        <w:trPr>
          <w:tblHeader w:val="false"/>
        </w:trPr>
        <w:tc>
          <w:tcPr>
            <w:tcW w:type="dxa" w:w="2400"/>
            <w:tcMar>
              <w:top w:type="dxa" w:w="80"/>
              <w:left w:type="dxa" w:w="110"/>
              <w:bottom w:type="dxa" w:w="80"/>
              <w:right w:type="dxa" w:w="110"/>
            </w:tcMar>
          </w:tcPr>
          <w:p>
            <w:r>
              <w:rPr>
                <w:sz w:val="18"/>
                <w:szCs w:val="18"/>
              </w:rPr>
              <w:t xml:space="preserve">5 MW or more</w:t>
            </w:r>
          </w:p>
        </w:tc>
        <w:tc>
          <w:tcPr>
            <w:tcW w:type="dxa" w:w="6960"/>
            <w:tcMar>
              <w:top w:type="dxa" w:w="80"/>
              <w:left w:type="dxa" w:w="110"/>
              <w:bottom w:type="dxa" w:w="80"/>
              <w:right w:type="dxa" w:w="110"/>
            </w:tcMar>
          </w:tcPr>
          <w:p>
            <w:r>
              <w:rPr>
                <w:sz w:val="18"/>
                <w:szCs w:val="18"/>
              </w:rPr>
              <w:t xml:space="preserve">Article 19 of the New York State Energy Law applies, with third party verification of demonstrated compliance. Prevailing wage, apprenticeship or workforce training, building service prevailing wage, and domestic iron and steel requirements attach to construction or expansion</w:t>
            </w:r>
          </w:p>
        </w:tc>
      </w:tr>
      <w:tr>
        <w:trPr>
          <w:tblHeader w:val="false"/>
        </w:trPr>
        <w:tc>
          <w:tcPr>
            <w:tcW w:type="dxa" w:w="2400"/>
            <w:tcMar>
              <w:top w:type="dxa" w:w="80"/>
              <w:left w:type="dxa" w:w="110"/>
              <w:bottom w:type="dxa" w:w="80"/>
              <w:right w:type="dxa" w:w="110"/>
            </w:tcMar>
          </w:tcPr>
          <w:p>
            <w:r>
              <w:rPr>
                <w:sz w:val="18"/>
                <w:szCs w:val="18"/>
              </w:rPr>
              <w:t xml:space="preserve">20 MW or more</w:t>
            </w:r>
          </w:p>
        </w:tc>
        <w:tc>
          <w:tcPr>
            <w:tcW w:type="dxa" w:w="6960"/>
            <w:tcMar>
              <w:top w:type="dxa" w:w="80"/>
              <w:left w:type="dxa" w:w="110"/>
              <w:bottom w:type="dxa" w:w="80"/>
              <w:right w:type="dxa" w:w="110"/>
            </w:tcMar>
          </w:tcPr>
          <w:p>
            <w:r>
              <w:rPr>
                <w:sz w:val="18"/>
                <w:szCs w:val="18"/>
              </w:rPr>
              <w:t xml:space="preserve">One year moratorium on certain state permits for new large data centers. New electric rate class and new water rate class. Host community benefits programme obligation, including for expansions adding 20 MW or more</w:t>
            </w:r>
          </w:p>
        </w:tc>
      </w:tr>
      <w:tr>
        <w:trPr>
          <w:tblHeader w:val="false"/>
        </w:trPr>
        <w:tc>
          <w:tcPr>
            <w:tcW w:type="dxa" w:w="2400"/>
            <w:tcMar>
              <w:top w:type="dxa" w:w="80"/>
              <w:left w:type="dxa" w:w="110"/>
              <w:bottom w:type="dxa" w:w="80"/>
              <w:right w:type="dxa" w:w="110"/>
            </w:tcMar>
          </w:tcPr>
          <w:p>
            <w:r>
              <w:rPr>
                <w:sz w:val="18"/>
                <w:szCs w:val="18"/>
              </w:rPr>
              <w:t xml:space="preserve">50 MW or higher</w:t>
            </w:r>
          </w:p>
        </w:tc>
        <w:tc>
          <w:tcPr>
            <w:tcW w:type="dxa" w:w="6960"/>
            <w:tcMar>
              <w:top w:type="dxa" w:w="80"/>
              <w:left w:type="dxa" w:w="110"/>
              <w:bottom w:type="dxa" w:w="80"/>
              <w:right w:type="dxa" w:w="110"/>
            </w:tcMar>
          </w:tcPr>
          <w:p>
            <w:r>
              <w:rPr>
                <w:sz w:val="18"/>
                <w:szCs w:val="18"/>
              </w:rPr>
              <w:t xml:space="preserve">Reported scope of the Executive Order moratorium, per trade press</w:t>
            </w:r>
          </w:p>
        </w:tc>
      </w:tr>
    </w:tbl>
    <w:p>
      <w:pPr>
        <w:pStyle w:val="Heading3"/>
        <w:spacing w:after="100" w:before="200"/>
      </w:pPr>
      <w:r>
        <w:rPr>
          <w:b/>
          <w:bCs/>
          <w:color w:val="1F4E79"/>
          <w:sz w:val="21"/>
          <w:szCs w:val="21"/>
        </w:rPr>
        <w:t xml:space="preserve">The waste heat provision</w:t>
      </w:r>
    </w:p>
    <w:p>
      <w:pPr>
        <w:spacing w:after="140"/>
      </w:pPr>
      <w:r>
        <w:rPr>
          <w:sz w:val="21"/>
          <w:szCs w:val="21"/>
        </w:rPr>
        <w:t xml:space="preserve">NYSERDA, the Public Service Commission, the Climate Action Council and the bulk system operator would be required to establish energy efficiency goals aligned with the Climate Leadership and Community Protection Act within one year, and those goals must include a focus on waste heat recovery and reuse. The bill separately requires the formulation of an energy consumption efficiency goal for data centers inclusive of waste heat recycling goals.</w:t>
      </w:r>
    </w:p>
    <w:p>
      <w:pPr>
        <w:spacing w:after="140"/>
      </w:pPr>
      <w:r>
        <w:rPr>
          <w:sz w:val="21"/>
          <w:szCs w:val="21"/>
        </w:rPr>
        <w:t xml:space="preserve">Compliance timelines differ by vintage: two years for existing facilities, one year for newer facilities.</w:t>
      </w:r>
    </w:p>
    <w:p>
      <w:pPr>
        <w:spacing w:after="140"/>
      </w:pPr>
      <w:r>
        <w:rPr>
          <w:sz w:val="21"/>
          <w:szCs w:val="21"/>
        </w:rPr>
        <w:t xml:space="preserve">Where MicroLink states efficiency against these goals, the canon position holds: PUE reported with ERE alongside it, because a recovery claim that is not expressed as ERE cannot be checked against a waste heat reuse goal.</w:t>
      </w:r>
    </w:p>
    <w:p>
      <w:pPr>
        <w:pStyle w:val="Heading3"/>
        <w:spacing w:after="100" w:before="200"/>
      </w:pPr>
      <w:r>
        <w:rPr>
          <w:b/>
          <w:bCs/>
          <w:color w:val="1F4E79"/>
          <w:sz w:val="21"/>
          <w:szCs w:val="21"/>
        </w:rPr>
        <w:t xml:space="preserve">Other obligations in the Act</w:t>
      </w:r>
    </w:p>
    <w:p>
      <w:pPr>
        <w:pStyle w:val="ListParagraph"/>
        <w:numPr>
          <w:ilvl w:val="0"/>
          <w:numId w:val="2"/>
        </w:numPr>
        <w:spacing w:after="90"/>
      </w:pPr>
      <w:r>
        <w:rPr>
          <w:sz w:val="21"/>
          <w:szCs w:val="21"/>
        </w:rPr>
        <w:t xml:space="preserve">Renewables. Data centers would be required to generate as much energy as feasible from on site renewable sources. The legislation does not address whether renewable energy credits may be used for compliance. A 90 per cent renewable by 2040 target would be phased in for all data centers.</w:t>
      </w:r>
    </w:p>
    <w:p>
      <w:pPr>
        <w:pStyle w:val="ListParagraph"/>
        <w:numPr>
          <w:ilvl w:val="0"/>
          <w:numId w:val="2"/>
        </w:numPr>
        <w:spacing w:after="90"/>
      </w:pPr>
      <w:r>
        <w:rPr>
          <w:sz w:val="21"/>
          <w:szCs w:val="21"/>
        </w:rPr>
        <w:t xml:space="preserve">Host community benefits. New large data centers, and existing ones undergoing a major expansion adding 20 MW or more, would fund a host community benefits programme covering residential energy upgrades, community infrastructure, and measures addressing water pollution, wastewater strain, water scarcity and related water impacts. The Public Service Commission must begin a proceeding within 90 days to establish that programme, including community engagement and host community preference mechanisms.</w:t>
      </w:r>
    </w:p>
    <w:p>
      <w:pPr>
        <w:pStyle w:val="ListParagraph"/>
        <w:numPr>
          <w:ilvl w:val="0"/>
          <w:numId w:val="2"/>
        </w:numPr>
        <w:spacing w:after="90"/>
      </w:pPr>
      <w:r>
        <w:rPr>
          <w:sz w:val="21"/>
          <w:szCs w:val="21"/>
        </w:rPr>
        <w:t xml:space="preserve">Rate classes. New electric and water rate classes for data centers over 20 MW, under which those facilities cover the additional infrastructure and administrative costs of serving them. No utility may be granted a rate increase without implementation of the new data center rate classes, which must occur no later than 1 June 2030.</w:t>
      </w:r>
    </w:p>
    <w:p>
      <w:pPr>
        <w:pStyle w:val="ListParagraph"/>
        <w:numPr>
          <w:ilvl w:val="0"/>
          <w:numId w:val="2"/>
        </w:numPr>
        <w:spacing w:after="90"/>
      </w:pPr>
      <w:r>
        <w:rPr>
          <w:sz w:val="21"/>
          <w:szCs w:val="21"/>
        </w:rPr>
        <w:t xml:space="preserve">Environmental review. The Department of Environmental Conservation would prepare an environmental impact report examining data center development throughout New York State.</w:t>
      </w:r>
    </w:p>
    <w:p>
      <w:pPr>
        <w:pStyle w:val="Heading3"/>
        <w:spacing w:after="100" w:before="200"/>
      </w:pPr>
      <w:r>
        <w:rPr>
          <w:b/>
          <w:bCs/>
          <w:color w:val="1F4E79"/>
          <w:sz w:val="21"/>
          <w:szCs w:val="21"/>
        </w:rPr>
        <w:t xml:space="preserve">Two exclusions worth knowing</w:t>
      </w:r>
    </w:p>
    <w:p>
      <w:pPr>
        <w:pStyle w:val="ListParagraph"/>
        <w:numPr>
          <w:ilvl w:val="0"/>
          <w:numId w:val="2"/>
        </w:numPr>
        <w:spacing w:after="90"/>
      </w:pPr>
      <w:r>
        <w:rPr>
          <w:sz w:val="21"/>
          <w:szCs w:val="21"/>
        </w:rPr>
        <w:t xml:space="preserve">The moratorium would exclude facilities majority owned, operated or controlled by public research institutions and used for research purposes.</w:t>
      </w:r>
    </w:p>
    <w:p>
      <w:pPr>
        <w:pStyle w:val="ListParagraph"/>
        <w:numPr>
          <w:ilvl w:val="0"/>
          <w:numId w:val="2"/>
        </w:numPr>
        <w:spacing w:after="90"/>
      </w:pPr>
      <w:r>
        <w:rPr>
          <w:sz w:val="21"/>
          <w:szCs w:val="21"/>
        </w:rPr>
        <w:t xml:space="preserve">The moratorium would not apply to the modification, renewal, reissuance or recertification of prior approvals, so large data centers that began construction before the effective date could proceed.</w:t>
      </w:r>
    </w:p>
    <w:p>
      <w:pPr>
        <w:spacing w:after="200" w:before="80"/>
      </w:pPr>
      <w:r>
        <w:rPr>
          <w:i/>
          <w:iCs/>
          <w:color w:val="666666"/>
          <w:sz w:val="17"/>
          <w:szCs w:val="17"/>
        </w:rPr>
        <w:t xml:space="preserve">Source: nysenate.gov S10642; DLA Piper, July 2026; Greenberg Traurig, 12 June 2026; Phillips Lytle, 18 June 2026; Harris Beach Murtha Cullina, July 2026.</w:t>
      </w:r>
    </w:p>
    <w:p>
      <w:pPr>
        <w:pStyle w:val="Heading2"/>
        <w:spacing w:after="120" w:before="280"/>
      </w:pPr>
      <w:r>
        <w:rPr>
          <w:b/>
          <w:bCs/>
          <w:color w:val="B02020"/>
          <w:sz w:val="24"/>
          <w:szCs w:val="24"/>
        </w:rPr>
        <w:t xml:space="preserve">4.3 The load context</w:t>
      </w:r>
    </w:p>
    <w:p>
      <w:pPr>
        <w:spacing w:after="140"/>
      </w:pPr>
      <w:r>
        <w:rPr>
          <w:sz w:val="21"/>
          <w:szCs w:val="21"/>
        </w:rPr>
        <w:t xml:space="preserve">The scale of the queue is what is driving all of the above. The New York Independent System Operator reported its large load interconnection queue growing from six projects totalling roughly 1,045 MW in 2022 to 48 proposals totalling approximately 12 GW as at 31 December 2025. The Public Service Commission instituted its large load proceeding at the 12 February 2026 session.</w:t>
      </w:r>
    </w:p>
    <w:p>
      <w:pPr>
        <w:spacing w:after="140"/>
      </w:pPr>
      <w:r>
        <w:rPr>
          <w:sz w:val="21"/>
          <w:szCs w:val="21"/>
        </w:rPr>
        <w:t xml:space="preserve">On the built position, one trade account records nine facilities offering 205 MW in operation, with plans for 25 more totalling 9,797 MW across 27 developers. The gap between 205 MW built and roughly 12 GW queued is the political problem the state is responding to.</w:t>
      </w:r>
    </w:p>
    <w:p>
      <w:pPr>
        <w:spacing w:after="200" w:before="80"/>
      </w:pPr>
      <w:r>
        <w:rPr>
          <w:i/>
          <w:iCs/>
          <w:color w:val="666666"/>
          <w:sz w:val="17"/>
          <w:szCs w:val="17"/>
        </w:rPr>
        <w:t xml:space="preserve">Source: Harris Beach Murtha Cullina, July 2026; Commercial Observer, July 2026.</w:t>
      </w:r>
    </w:p>
    <w:p>
      <w:r>
        <w:br w:type="page"/>
      </w:r>
    </w:p>
    <w:p>
      <w:pPr>
        <w:pStyle w:val="Heading1"/>
        <w:spacing w:after="160" w:before="380"/>
      </w:pPr>
      <w:r>
        <w:rPr>
          <w:b/>
          <w:bCs/>
          <w:color w:val="222222"/>
          <w:sz w:val="30"/>
          <w:szCs w:val="30"/>
        </w:rPr>
        <w:t xml:space="preserve">5. Innovation and Research, the main funding engine</w:t>
      </w:r>
    </w:p>
    <w:p>
      <w:pPr>
        <w:spacing w:after="140"/>
      </w:pPr>
      <w:r>
        <w:rPr>
          <w:sz w:val="21"/>
          <w:szCs w:val="21"/>
        </w:rPr>
        <w:t xml:space="preserve">This is the arm of NYSERDA that funds first of a kind deployments, which is the category most MicroLink work falls into. It is also the arm with money committed through 2030.</w:t>
      </w:r>
    </w:p>
    <w:p>
      <w:pPr>
        <w:spacing w:after="80" w:before="160"/>
      </w:pPr>
      <w:r>
        <w:rPr>
          <w:b/>
          <w:bCs/>
          <w:sz w:val="21"/>
          <w:szCs w:val="21"/>
        </w:rPr>
        <w:t xml:space="preserve">Scale and mandate</w:t>
      </w:r>
    </w:p>
    <w:p>
      <w:pPr>
        <w:pStyle w:val="ListParagraph"/>
        <w:numPr>
          <w:ilvl w:val="0"/>
          <w:numId w:val="2"/>
        </w:numPr>
        <w:spacing w:after="90"/>
      </w:pPr>
      <w:r>
        <w:rPr>
          <w:sz w:val="21"/>
          <w:szCs w:val="21"/>
        </w:rPr>
        <w:t xml:space="preserve">Over 96 million USD invested per year across the Innovation and Research programs.</w:t>
      </w:r>
    </w:p>
    <w:p>
      <w:pPr>
        <w:pStyle w:val="ListParagraph"/>
        <w:numPr>
          <w:ilvl w:val="0"/>
          <w:numId w:val="2"/>
        </w:numPr>
        <w:spacing w:after="90"/>
      </w:pPr>
      <w:r>
        <w:rPr>
          <w:sz w:val="21"/>
          <w:szCs w:val="21"/>
        </w:rPr>
        <w:t xml:space="preserve">1.2 billion USD being deployed over 15 years in grants and commercialisation support.</w:t>
      </w:r>
    </w:p>
    <w:p>
      <w:pPr>
        <w:pStyle w:val="ListParagraph"/>
        <w:numPr>
          <w:ilvl w:val="0"/>
          <w:numId w:val="2"/>
        </w:numPr>
        <w:spacing w:after="90"/>
      </w:pPr>
      <w:r>
        <w:rPr>
          <w:sz w:val="21"/>
          <w:szCs w:val="21"/>
        </w:rPr>
        <w:t xml:space="preserve">Funded through the Public Service Commission 2025 Innovation and Research Order, which funds statewide clean energy innovation and research programs from 2026 through 2030. The horizon is therefore secured, which matters for a multi year pipeline.</w:t>
      </w:r>
    </w:p>
    <w:p>
      <w:pPr>
        <w:pStyle w:val="ListParagraph"/>
        <w:numPr>
          <w:ilvl w:val="0"/>
          <w:numId w:val="2"/>
        </w:numPr>
        <w:spacing w:after="90"/>
      </w:pPr>
      <w:r>
        <w:rPr>
          <w:sz w:val="21"/>
          <w:szCs w:val="21"/>
        </w:rPr>
        <w:t xml:space="preserve">Track record cited by NYSERDA: partnerships with over 900 companies, more than 300 products brought to market, more than 1 billion USD in private capital raised, and every 1 USD of NYSERDA funding leveraging 15 USD of additional investment.</w:t>
      </w:r>
    </w:p>
    <w:p>
      <w:pPr>
        <w:spacing w:after="80" w:before="160"/>
      </w:pPr>
      <w:r>
        <w:rPr>
          <w:b/>
          <w:bCs/>
          <w:sz w:val="21"/>
          <w:szCs w:val="21"/>
        </w:rPr>
        <w:t xml:space="preserve">The four focus areas</w:t>
      </w:r>
    </w:p>
    <w:p>
      <w:pPr>
        <w:pStyle w:val="ListParagraph"/>
        <w:numPr>
          <w:ilvl w:val="0"/>
          <w:numId w:val="2"/>
        </w:numPr>
        <w:spacing w:after="90"/>
      </w:pPr>
      <w:r>
        <w:rPr>
          <w:sz w:val="21"/>
          <w:szCs w:val="21"/>
        </w:rPr>
        <w:t xml:space="preserve">Advanced Fuels and Thermal Energy. Includes thermal energy storage and the alternative fuels line.</w:t>
      </w:r>
    </w:p>
    <w:p>
      <w:pPr>
        <w:pStyle w:val="ListParagraph"/>
        <w:numPr>
          <w:ilvl w:val="0"/>
          <w:numId w:val="2"/>
        </w:numPr>
        <w:spacing w:after="90"/>
      </w:pPr>
      <w:r>
        <w:rPr>
          <w:sz w:val="21"/>
          <w:szCs w:val="21"/>
        </w:rPr>
        <w:t xml:space="preserve">End-Use Energy Innovation. Buildings side technology, load control, load flexibility.</w:t>
      </w:r>
    </w:p>
    <w:p>
      <w:pPr>
        <w:pStyle w:val="ListParagraph"/>
        <w:numPr>
          <w:ilvl w:val="0"/>
          <w:numId w:val="2"/>
        </w:numPr>
        <w:spacing w:after="90"/>
      </w:pPr>
      <w:r>
        <w:rPr>
          <w:sz w:val="21"/>
          <w:szCs w:val="21"/>
        </w:rPr>
        <w:t xml:space="preserve">Grid Modernization. Includes the Grid Enhancing Technologies program.</w:t>
      </w:r>
    </w:p>
    <w:p>
      <w:pPr>
        <w:pStyle w:val="ListParagraph"/>
        <w:numPr>
          <w:ilvl w:val="0"/>
          <w:numId w:val="2"/>
        </w:numPr>
        <w:spacing w:after="90"/>
      </w:pPr>
      <w:r>
        <w:rPr>
          <w:sz w:val="21"/>
          <w:szCs w:val="21"/>
        </w:rPr>
        <w:t xml:space="preserve">Power Generation and Storage.</w:t>
      </w:r>
    </w:p>
    <w:p>
      <w:pPr>
        <w:spacing w:after="140"/>
      </w:pPr>
      <w:r>
        <w:rPr>
          <w:sz w:val="21"/>
          <w:szCs w:val="21"/>
        </w:rPr>
        <w:t xml:space="preserve">Awards are made through focus area specific Program Opportunity Notices. A Commercialization Program sits alongside, taking technology from lab to market with strategic partners, with nearly 300 products commercialised through it.</w:t>
      </w:r>
    </w:p>
    <w:p>
      <w:pPr>
        <w:spacing w:after="200" w:before="80"/>
      </w:pPr>
      <w:r>
        <w:rPr>
          <w:i/>
          <w:iCs/>
          <w:color w:val="666666"/>
          <w:sz w:val="17"/>
          <w:szCs w:val="17"/>
        </w:rPr>
        <w:t xml:space="preserve">Source: nyserda.ny.gov Innovation at NYSERDA, Research and Development Funding, and End-Use Energy Innovation pages; 2026 announcements.</w:t>
      </w:r>
    </w:p>
    <w:p>
      <w:pPr>
        <w:pStyle w:val="Heading2"/>
        <w:spacing w:after="120" w:before="280"/>
      </w:pPr>
      <w:r>
        <w:rPr>
          <w:b/>
          <w:bCs/>
          <w:color w:val="B02020"/>
          <w:sz w:val="24"/>
          <w:szCs w:val="24"/>
        </w:rPr>
        <w:t xml:space="preserve">5.1 Grid Enhancing Technologies, open</w:t>
      </w:r>
    </w:p>
    <w:p>
      <w:pPr>
        <w:spacing w:after="140"/>
      </w:pPr>
      <w:r>
        <w:rPr>
          <w:sz w:val="21"/>
          <w:szCs w:val="21"/>
        </w:rPr>
        <w:t xml:space="preserve">24 million USD announced 25 June 2026 for the development and demonstration of products and solutions that support a high performing electric grid in New York State. Applications run through a two step competitive process: concept papers first, then a selected group invited to submit full proposals. Teams may consist of commercial firms, manufacturers, industry associations, research organisations, universities, government agencies, corporations, investors or end users.</w:t>
      </w:r>
    </w:p>
    <w:p>
      <w:pPr>
        <w:spacing w:after="140"/>
      </w:pPr>
      <w:r>
        <w:rPr>
          <w:sz w:val="21"/>
          <w:szCs w:val="21"/>
        </w:rPr>
        <w:t xml:space="preserve">The team composition language is unusually wide and explicitly contemplates mixed consortia including end users, which is the shape of a compute plus host partner plus utility arrangement.</w:t>
      </w:r>
    </w:p>
    <w:p>
      <w:pPr>
        <w:spacing w:after="200" w:before="80"/>
      </w:pPr>
      <w:r>
        <w:rPr>
          <w:i/>
          <w:iCs/>
          <w:color w:val="666666"/>
          <w:sz w:val="17"/>
          <w:szCs w:val="17"/>
        </w:rPr>
        <w:t xml:space="preserve">Source: nyserda.ny.gov announcement, 25 June 2026.</w:t>
      </w:r>
    </w:p>
    <w:p>
      <w:pPr>
        <w:pStyle w:val="Heading2"/>
        <w:spacing w:after="120" w:before="280"/>
      </w:pPr>
      <w:r>
        <w:rPr>
          <w:b/>
          <w:bCs/>
          <w:color w:val="B02020"/>
          <w:sz w:val="24"/>
          <w:szCs w:val="24"/>
        </w:rPr>
        <w:t xml:space="preserve">5.2 Alternative fuel solutions, open</w:t>
      </w:r>
    </w:p>
    <w:p>
      <w:pPr>
        <w:spacing w:after="140"/>
      </w:pPr>
      <w:r>
        <w:rPr>
          <w:sz w:val="21"/>
          <w:szCs w:val="21"/>
        </w:rPr>
        <w:t xml:space="preserve">8 million USD announced 21 July 2026, in two technical areas: large scale alternative fuel based resources such as multi megawatt fuel cells, and alternative fuel cell infrastructure including fuel production, storage and distribution. Two funding categories: product development, or pilot and demonstration. A proposal must select one primary technical area and one funding area.</w:t>
      </w:r>
    </w:p>
    <w:p>
      <w:pPr>
        <w:spacing w:after="80" w:before="160"/>
      </w:pPr>
      <w:r>
        <w:rPr>
          <w:b/>
          <w:bCs/>
          <w:sz w:val="21"/>
          <w:szCs w:val="21"/>
        </w:rPr>
        <w:t xml:space="preserve">Terms</w:t>
      </w:r>
    </w:p>
    <w:p>
      <w:pPr>
        <w:pStyle w:val="ListParagraph"/>
        <w:numPr>
          <w:ilvl w:val="0"/>
          <w:numId w:val="2"/>
        </w:numPr>
        <w:spacing w:after="90"/>
      </w:pPr>
      <w:r>
        <w:rPr>
          <w:sz w:val="21"/>
          <w:szCs w:val="21"/>
        </w:rPr>
        <w:t xml:space="preserve">Proposals due 28 September 2026 by 3pm ET.</w:t>
      </w:r>
    </w:p>
    <w:p>
      <w:pPr>
        <w:pStyle w:val="ListParagraph"/>
        <w:numPr>
          <w:ilvl w:val="0"/>
          <w:numId w:val="2"/>
        </w:numPr>
        <w:spacing w:after="90"/>
      </w:pPr>
      <w:r>
        <w:rPr>
          <w:sz w:val="21"/>
          <w:szCs w:val="21"/>
        </w:rPr>
        <w:t xml:space="preserve">Optional letter of intent for eligibility feedback, not merits, any time before 7 September 2026 by 3pm ET.</w:t>
      </w:r>
    </w:p>
    <w:p>
      <w:pPr>
        <w:pStyle w:val="ListParagraph"/>
        <w:numPr>
          <w:ilvl w:val="0"/>
          <w:numId w:val="2"/>
        </w:numPr>
        <w:spacing w:after="90"/>
      </w:pPr>
      <w:r>
        <w:rPr>
          <w:sz w:val="21"/>
          <w:szCs w:val="21"/>
        </w:rPr>
        <w:t xml:space="preserve">Minimum 50 per cent cost share from non NYSERDA funding sources.</w:t>
      </w:r>
    </w:p>
    <w:p>
      <w:pPr>
        <w:pStyle w:val="ListParagraph"/>
        <w:numPr>
          <w:ilvl w:val="0"/>
          <w:numId w:val="2"/>
        </w:numPr>
        <w:spacing w:after="90"/>
      </w:pPr>
      <w:r>
        <w:rPr>
          <w:sz w:val="21"/>
          <w:szCs w:val="21"/>
        </w:rPr>
        <w:t xml:space="preserve">Projects must demonstrate compliance with applicable safety, regulatory and industry standards.</w:t>
      </w:r>
    </w:p>
    <w:p>
      <w:pPr>
        <w:pStyle w:val="ListParagraph"/>
        <w:numPr>
          <w:ilvl w:val="0"/>
          <w:numId w:val="2"/>
        </w:numPr>
        <w:spacing w:after="90"/>
      </w:pPr>
      <w:r>
        <w:rPr>
          <w:sz w:val="21"/>
          <w:szCs w:val="21"/>
        </w:rPr>
        <w:t xml:space="preserve">Evaluated on technical innovation, project plan, budget, risks, market plan, team capability, and benefits to New York State including to disadvantaged communities as identified by the Climate Justice Working Group.</w:t>
      </w:r>
    </w:p>
    <w:p>
      <w:pPr>
        <w:spacing w:after="140"/>
      </w:pPr>
      <w:r>
        <w:rPr>
          <w:sz w:val="21"/>
          <w:szCs w:val="21"/>
        </w:rPr>
        <w:t xml:space="preserve">The letter of intent mechanism is the useful part even where a full proposal is not intended. It buys a written eligibility read from NYSERDA at no cost and no commitment.</w:t>
      </w:r>
    </w:p>
    <w:p>
      <w:pPr>
        <w:spacing w:after="200" w:before="80"/>
      </w:pPr>
      <w:r>
        <w:rPr>
          <w:i/>
          <w:iCs/>
          <w:color w:val="666666"/>
          <w:sz w:val="17"/>
          <w:szCs w:val="17"/>
        </w:rPr>
        <w:t xml:space="preserve">Source: nyserda.ny.gov announcement, 21 July 2026.</w:t>
      </w:r>
    </w:p>
    <w:p>
      <w:pPr>
        <w:pStyle w:val="Heading2"/>
        <w:spacing w:after="120" w:before="280"/>
      </w:pPr>
      <w:r>
        <w:rPr>
          <w:b/>
          <w:bCs/>
          <w:color w:val="B02020"/>
          <w:sz w:val="24"/>
          <w:szCs w:val="24"/>
        </w:rPr>
        <w:t xml:space="preserve">5.3 Innovation for Affordable Building Electrification, closed 23 July 2026</w:t>
      </w:r>
    </w:p>
    <w:p>
      <w:pPr>
        <w:spacing w:after="140"/>
      </w:pPr>
      <w:r>
        <w:rPr>
          <w:sz w:val="21"/>
          <w:szCs w:val="21"/>
        </w:rPr>
        <w:t xml:space="preserve">15 million USD announced 20 May 2026, to develop and demonstrate a new or improved product or solution to better control energy use, increase load flexibility, lower emissions and improve indoor air quality in existing residential and commercial buildings. Eligible applicants included but were not limited to researchers, educational institutions, manufacturers, labs, building owners and managers, and trade associations. Solutions benefiting low to moderate income or disadvantaged communities were prioritised.</w:t>
      </w:r>
    </w:p>
    <w:p>
      <w:pPr>
        <w:spacing w:after="140"/>
      </w:pPr>
      <w:r>
        <w:rPr>
          <w:sz w:val="21"/>
          <w:szCs w:val="21"/>
        </w:rPr>
        <w:t xml:space="preserve">Structure to note for the next cycle: proposals due 23 July 2026, optional letter of intent by 2 July 2026, informational webinar 3 June 2026. Roughly nine weeks from announcement to close, with the letter of intent gate three weeks before the deadline.</w:t>
      </w:r>
    </w:p>
    <w:p>
      <w:pPr>
        <w:spacing w:after="140"/>
      </w:pPr>
      <w:r>
        <w:rPr>
          <w:sz w:val="21"/>
          <w:szCs w:val="21"/>
        </w:rPr>
        <w:t xml:space="preserve">A predecessor round, Enabling Innovative Clean Energy Building Solutions at 5 million USD in March 2025, carried a maximum of 1 million USD per proposal and a hard eligibility gate: the proposer must previously have been awarded funding from a federal, state or local government entity other than NYSERDA, or from a foundation or non profit, to develop the technology. Named categories included building envelope, clean heating and cooling, and intelligent grid interactive building controls.</w:t>
      </w:r>
    </w:p>
    <w:p>
      <w:pPr>
        <w:spacing w:after="140"/>
      </w:pPr>
      <w:r>
        <w:rPr>
          <w:sz w:val="21"/>
          <w:szCs w:val="21"/>
        </w:rPr>
        <w:t xml:space="preserve">In December 2025 NYSERDA awarded over 23 million USD to advance next generation building innovation projects, so this line runs on a repeating annual cycle rather than as a one off.</w:t>
      </w:r>
    </w:p>
    <w:p>
      <w:pPr>
        <w:spacing w:after="200" w:before="80"/>
      </w:pPr>
      <w:r>
        <w:rPr>
          <w:i/>
          <w:iCs/>
          <w:color w:val="666666"/>
          <w:sz w:val="17"/>
          <w:szCs w:val="17"/>
        </w:rPr>
        <w:t xml:space="preserve">Source: nyserda.ny.gov and governor.ny.gov announcements, 20 May 2026, 14 March 2025, 15 December 2025.</w:t>
      </w:r>
    </w:p>
    <w:p>
      <w:r>
        <w:br w:type="page"/>
      </w:r>
    </w:p>
    <w:p>
      <w:pPr>
        <w:pStyle w:val="Heading1"/>
        <w:spacing w:after="160" w:before="380"/>
      </w:pPr>
      <w:r>
        <w:rPr>
          <w:b/>
          <w:bCs/>
          <w:color w:val="222222"/>
          <w:sz w:val="30"/>
          <w:szCs w:val="30"/>
        </w:rPr>
        <w:t xml:space="preserve">6. Buildings, thermal and heat recovery</w:t>
      </w:r>
    </w:p>
    <w:p>
      <w:pPr>
        <w:pStyle w:val="Heading2"/>
        <w:spacing w:after="120" w:before="280"/>
      </w:pPr>
      <w:r>
        <w:rPr>
          <w:b/>
          <w:bCs/>
          <w:color w:val="B02020"/>
          <w:sz w:val="24"/>
          <w:szCs w:val="24"/>
        </w:rPr>
        <w:t xml:space="preserve">6.1 Heat Recovery Program, PON 5547, closed</w:t>
      </w:r>
    </w:p>
    <w:p>
      <w:pPr>
        <w:spacing w:after="140"/>
      </w:pPr>
      <w:r>
        <w:rPr>
          <w:sz w:val="21"/>
          <w:szCs w:val="21"/>
        </w:rPr>
        <w:t xml:space="preserve">Announced 30 October 2023 at 12 million USD, expanded to 27 million USD across four categories by February 2025. Retained here in full because it is the clearest statement New York has made of how it values recovered heat, and because a successor is plausible.</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2100"/>
        <w:gridCol w:w="3560"/>
        <w:gridCol w:w="1900"/>
        <w:gridCol w:w="1800"/>
      </w:tblGrid>
      <w:tr>
        <w:trPr>
          <w:tblHeader/>
        </w:trPr>
        <w:tc>
          <w:tcPr>
            <w:tcW w:type="dxa" w:w="2100"/>
            <w:shd w:fill="F2F2F2" w:color="auto" w:val="clear"/>
            <w:tcMar>
              <w:top w:type="dxa" w:w="80"/>
              <w:left w:type="dxa" w:w="110"/>
              <w:bottom w:type="dxa" w:w="80"/>
              <w:right w:type="dxa" w:w="110"/>
            </w:tcMar>
          </w:tcPr>
          <w:p>
            <w:r>
              <w:rPr>
                <w:b/>
                <w:bCs/>
                <w:sz w:val="18"/>
                <w:szCs w:val="18"/>
              </w:rPr>
              <w:t xml:space="preserve">Category</w:t>
            </w:r>
          </w:p>
        </w:tc>
        <w:tc>
          <w:tcPr>
            <w:tcW w:type="dxa" w:w="3560"/>
            <w:shd w:fill="F2F2F2" w:color="auto" w:val="clear"/>
            <w:tcMar>
              <w:top w:type="dxa" w:w="80"/>
              <w:left w:type="dxa" w:w="110"/>
              <w:bottom w:type="dxa" w:w="80"/>
              <w:right w:type="dxa" w:w="110"/>
            </w:tcMar>
          </w:tcPr>
          <w:p>
            <w:r>
              <w:rPr>
                <w:b/>
                <w:bCs/>
                <w:sz w:val="18"/>
                <w:szCs w:val="18"/>
              </w:rPr>
              <w:t xml:space="preserve">Funded activity</w:t>
            </w:r>
          </w:p>
        </w:tc>
        <w:tc>
          <w:tcPr>
            <w:tcW w:type="dxa" w:w="1900"/>
            <w:shd w:fill="F2F2F2" w:color="auto" w:val="clear"/>
            <w:tcMar>
              <w:top w:type="dxa" w:w="80"/>
              <w:left w:type="dxa" w:w="110"/>
              <w:bottom w:type="dxa" w:w="80"/>
              <w:right w:type="dxa" w:w="110"/>
            </w:tcMar>
          </w:tcPr>
          <w:p>
            <w:r>
              <w:rPr>
                <w:b/>
                <w:bCs/>
                <w:sz w:val="18"/>
                <w:szCs w:val="18"/>
              </w:rPr>
              <w:t xml:space="preserve">Maximum per award</w:t>
            </w:r>
          </w:p>
        </w:tc>
        <w:tc>
          <w:tcPr>
            <w:tcW w:type="dxa" w:w="1800"/>
            <w:shd w:fill="F2F2F2" w:color="auto" w:val="clear"/>
            <w:tcMar>
              <w:top w:type="dxa" w:w="80"/>
              <w:left w:type="dxa" w:w="110"/>
              <w:bottom w:type="dxa" w:w="80"/>
              <w:right w:type="dxa" w:w="110"/>
            </w:tcMar>
          </w:tcPr>
          <w:p>
            <w:r>
              <w:rPr>
                <w:b/>
                <w:bCs/>
                <w:sz w:val="18"/>
                <w:szCs w:val="18"/>
              </w:rPr>
              <w:t xml:space="preserve">Cost share</w:t>
            </w:r>
          </w:p>
        </w:tc>
      </w:tr>
      <w:tr>
        <w:trPr>
          <w:tblHeader w:val="false"/>
        </w:trPr>
        <w:tc>
          <w:tcPr>
            <w:tcW w:type="dxa" w:w="2100"/>
            <w:tcMar>
              <w:top w:type="dxa" w:w="80"/>
              <w:left w:type="dxa" w:w="110"/>
              <w:bottom w:type="dxa" w:w="80"/>
              <w:right w:type="dxa" w:w="110"/>
            </w:tcMar>
          </w:tcPr>
          <w:p>
            <w:r>
              <w:rPr>
                <w:sz w:val="18"/>
                <w:szCs w:val="18"/>
              </w:rPr>
              <w:t xml:space="preserve">1. Opportunity Assessment</w:t>
            </w:r>
          </w:p>
        </w:tc>
        <w:tc>
          <w:tcPr>
            <w:tcW w:type="dxa" w:w="3560"/>
            <w:tcMar>
              <w:top w:type="dxa" w:w="80"/>
              <w:left w:type="dxa" w:w="110"/>
              <w:bottom w:type="dxa" w:w="80"/>
              <w:right w:type="dxa" w:w="110"/>
            </w:tcMar>
          </w:tcPr>
          <w:p>
            <w:r>
              <w:rPr>
                <w:sz w:val="18"/>
                <w:szCs w:val="18"/>
              </w:rPr>
              <w:t xml:space="preserve">Document operations, quantify and diagram rejected heat across ventilation, cooling, process, wastewater and thermal storage</w:t>
            </w:r>
          </w:p>
        </w:tc>
        <w:tc>
          <w:tcPr>
            <w:tcW w:type="dxa" w:w="1900"/>
            <w:tcMar>
              <w:top w:type="dxa" w:w="80"/>
              <w:left w:type="dxa" w:w="110"/>
              <w:bottom w:type="dxa" w:w="80"/>
              <w:right w:type="dxa" w:w="110"/>
            </w:tcMar>
          </w:tcPr>
          <w:p>
            <w:r>
              <w:rPr>
                <w:sz w:val="18"/>
                <w:szCs w:val="18"/>
              </w:rPr>
              <w:t xml:space="preserve">40,000 USD</w:t>
            </w:r>
          </w:p>
        </w:tc>
        <w:tc>
          <w:tcPr>
            <w:tcW w:type="dxa" w:w="1800"/>
            <w:tcMar>
              <w:top w:type="dxa" w:w="80"/>
              <w:left w:type="dxa" w:w="110"/>
              <w:bottom w:type="dxa" w:w="80"/>
              <w:right w:type="dxa" w:w="110"/>
            </w:tcMar>
          </w:tcPr>
          <w:p>
            <w:r>
              <w:rPr>
                <w:sz w:val="18"/>
                <w:szCs w:val="18"/>
              </w:rPr>
              <w:t xml:space="preserve">75 per cent</w:t>
            </w:r>
          </w:p>
        </w:tc>
      </w:tr>
      <w:tr>
        <w:trPr>
          <w:tblHeader w:val="false"/>
        </w:trPr>
        <w:tc>
          <w:tcPr>
            <w:tcW w:type="dxa" w:w="2100"/>
            <w:tcMar>
              <w:top w:type="dxa" w:w="80"/>
              <w:left w:type="dxa" w:w="110"/>
              <w:bottom w:type="dxa" w:w="80"/>
              <w:right w:type="dxa" w:w="110"/>
            </w:tcMar>
          </w:tcPr>
          <w:p>
            <w:r>
              <w:rPr>
                <w:sz w:val="18"/>
                <w:szCs w:val="18"/>
              </w:rPr>
              <w:t xml:space="preserve">2. Project Design</w:t>
            </w:r>
          </w:p>
        </w:tc>
        <w:tc>
          <w:tcPr>
            <w:tcW w:type="dxa" w:w="3560"/>
            <w:tcMar>
              <w:top w:type="dxa" w:w="80"/>
              <w:left w:type="dxa" w:w="110"/>
              <w:bottom w:type="dxa" w:w="80"/>
              <w:right w:type="dxa" w:w="110"/>
            </w:tcMar>
          </w:tcPr>
          <w:p>
            <w:r>
              <w:rPr>
                <w:sz w:val="18"/>
                <w:szCs w:val="18"/>
              </w:rPr>
              <w:t xml:space="preserve">Schematic design for viable projects. Progress up to 100 per cent construction documents eligible</w:t>
            </w:r>
          </w:p>
        </w:tc>
        <w:tc>
          <w:tcPr>
            <w:tcW w:type="dxa" w:w="1900"/>
            <w:tcMar>
              <w:top w:type="dxa" w:w="80"/>
              <w:left w:type="dxa" w:w="110"/>
              <w:bottom w:type="dxa" w:w="80"/>
              <w:right w:type="dxa" w:w="110"/>
            </w:tcMar>
          </w:tcPr>
          <w:p>
            <w:r>
              <w:rPr>
                <w:sz w:val="18"/>
                <w:szCs w:val="18"/>
              </w:rPr>
              <w:t xml:space="preserve">80,000 USD</w:t>
            </w:r>
          </w:p>
        </w:tc>
        <w:tc>
          <w:tcPr>
            <w:tcW w:type="dxa" w:w="1800"/>
            <w:tcMar>
              <w:top w:type="dxa" w:w="80"/>
              <w:left w:type="dxa" w:w="110"/>
              <w:bottom w:type="dxa" w:w="80"/>
              <w:right w:type="dxa" w:w="110"/>
            </w:tcMar>
          </w:tcPr>
          <w:p>
            <w:r>
              <w:rPr>
                <w:sz w:val="18"/>
                <w:szCs w:val="18"/>
              </w:rPr>
              <w:t xml:space="preserve">75 per cent</w:t>
            </w:r>
          </w:p>
        </w:tc>
      </w:tr>
      <w:tr>
        <w:trPr>
          <w:tblHeader w:val="false"/>
        </w:trPr>
        <w:tc>
          <w:tcPr>
            <w:tcW w:type="dxa" w:w="2100"/>
            <w:tcMar>
              <w:top w:type="dxa" w:w="80"/>
              <w:left w:type="dxa" w:w="110"/>
              <w:bottom w:type="dxa" w:w="80"/>
              <w:right w:type="dxa" w:w="110"/>
            </w:tcMar>
          </w:tcPr>
          <w:p>
            <w:r>
              <w:rPr>
                <w:sz w:val="18"/>
                <w:szCs w:val="18"/>
              </w:rPr>
              <w:t xml:space="preserve">3. Demonstration</w:t>
            </w:r>
          </w:p>
        </w:tc>
        <w:tc>
          <w:tcPr>
            <w:tcW w:type="dxa" w:w="3560"/>
            <w:tcMar>
              <w:top w:type="dxa" w:w="80"/>
              <w:left w:type="dxa" w:w="110"/>
              <w:bottom w:type="dxa" w:w="80"/>
              <w:right w:type="dxa" w:w="110"/>
            </w:tcMar>
          </w:tcPr>
          <w:p>
            <w:r>
              <w:rPr>
                <w:sz w:val="18"/>
                <w:szCs w:val="18"/>
              </w:rPr>
              <w:t xml:space="preserve">Implementation in four named types: data centers, high temperature heat pumps, packaged exhaust heat recovery, thermal storage</w:t>
            </w:r>
          </w:p>
        </w:tc>
        <w:tc>
          <w:tcPr>
            <w:tcW w:type="dxa" w:w="1900"/>
            <w:tcMar>
              <w:top w:type="dxa" w:w="80"/>
              <w:left w:type="dxa" w:w="110"/>
              <w:bottom w:type="dxa" w:w="80"/>
              <w:right w:type="dxa" w:w="110"/>
            </w:tcMar>
          </w:tcPr>
          <w:p>
            <w:r>
              <w:rPr>
                <w:sz w:val="18"/>
                <w:szCs w:val="18"/>
              </w:rPr>
              <w:t xml:space="preserve">2,000,000 USD</w:t>
            </w:r>
          </w:p>
        </w:tc>
        <w:tc>
          <w:tcPr>
            <w:tcW w:type="dxa" w:w="1800"/>
            <w:tcMar>
              <w:top w:type="dxa" w:w="80"/>
              <w:left w:type="dxa" w:w="110"/>
              <w:bottom w:type="dxa" w:w="80"/>
              <w:right w:type="dxa" w:w="110"/>
            </w:tcMar>
          </w:tcPr>
          <w:p>
            <w:r>
              <w:rPr>
                <w:sz w:val="18"/>
                <w:szCs w:val="18"/>
              </w:rPr>
              <w:t xml:space="preserve">Competitive, cost share required</w:t>
            </w:r>
          </w:p>
        </w:tc>
      </w:tr>
      <w:tr>
        <w:trPr>
          <w:tblHeader w:val="false"/>
        </w:trPr>
        <w:tc>
          <w:tcPr>
            <w:tcW w:type="dxa" w:w="2100"/>
            <w:tcMar>
              <w:top w:type="dxa" w:w="80"/>
              <w:left w:type="dxa" w:w="110"/>
              <w:bottom w:type="dxa" w:w="80"/>
              <w:right w:type="dxa" w:w="110"/>
            </w:tcMar>
          </w:tcPr>
          <w:p>
            <w:r>
              <w:rPr>
                <w:sz w:val="18"/>
                <w:szCs w:val="18"/>
              </w:rPr>
              <w:t xml:space="preserve">4. Manufacturer Growth Initiative</w:t>
            </w:r>
          </w:p>
        </w:tc>
        <w:tc>
          <w:tcPr>
            <w:tcW w:type="dxa" w:w="3560"/>
            <w:tcMar>
              <w:top w:type="dxa" w:w="80"/>
              <w:left w:type="dxa" w:w="110"/>
              <w:bottom w:type="dxa" w:w="80"/>
              <w:right w:type="dxa" w:w="110"/>
            </w:tcMar>
          </w:tcPr>
          <w:p>
            <w:r>
              <w:rPr>
                <w:sz w:val="18"/>
                <w:szCs w:val="18"/>
              </w:rPr>
              <w:t xml:space="preserve">Business development for providers qualified through RFQL 5217</w:t>
            </w:r>
          </w:p>
        </w:tc>
        <w:tc>
          <w:tcPr>
            <w:tcW w:type="dxa" w:w="1900"/>
            <w:tcMar>
              <w:top w:type="dxa" w:w="80"/>
              <w:left w:type="dxa" w:w="110"/>
              <w:bottom w:type="dxa" w:w="80"/>
              <w:right w:type="dxa" w:w="110"/>
            </w:tcMar>
          </w:tcPr>
          <w:p>
            <w:r>
              <w:rPr>
                <w:sz w:val="18"/>
                <w:szCs w:val="18"/>
              </w:rPr>
              <w:t xml:space="preserve">100,000 USD</w:t>
            </w:r>
          </w:p>
        </w:tc>
        <w:tc>
          <w:tcPr>
            <w:tcW w:type="dxa" w:w="1800"/>
            <w:tcMar>
              <w:top w:type="dxa" w:w="80"/>
              <w:left w:type="dxa" w:w="110"/>
              <w:bottom w:type="dxa" w:w="80"/>
              <w:right w:type="dxa" w:w="110"/>
            </w:tcMar>
          </w:tcPr>
          <w:p>
            <w:r>
              <w:rPr>
                <w:sz w:val="18"/>
                <w:szCs w:val="18"/>
              </w:rPr>
              <w:t xml:space="preserve">Cost share</w:t>
            </w:r>
          </w:p>
        </w:tc>
      </w:tr>
    </w:tbl>
    <w:p>
      <w:pPr>
        <w:spacing w:after="80" w:before="160"/>
      </w:pPr>
      <w:r>
        <w:rPr>
          <w:b/>
          <w:bCs/>
          <w:sz w:val="21"/>
          <w:szCs w:val="21"/>
        </w:rPr>
        <w:t xml:space="preserve">The data center eligibility language, held exactly</w:t>
      </w:r>
    </w:p>
    <w:p>
      <w:pPr>
        <w:pStyle w:val="ListParagraph"/>
        <w:numPr>
          <w:ilvl w:val="0"/>
          <w:numId w:val="2"/>
        </w:numPr>
        <w:spacing w:after="90"/>
      </w:pPr>
      <w:r>
        <w:rPr>
          <w:sz w:val="21"/>
          <w:szCs w:val="21"/>
        </w:rPr>
        <w:t xml:space="preserve">The project must be a solution that recovers and reuses waste heat from data center operations, resulting in lower utility energy demands, such as using heat exchange systems or novel waste heat to power conversion methods.</w:t>
      </w:r>
    </w:p>
    <w:p>
      <w:pPr>
        <w:pStyle w:val="ListParagraph"/>
        <w:numPr>
          <w:ilvl w:val="0"/>
          <w:numId w:val="2"/>
        </w:numPr>
        <w:spacing w:after="90"/>
      </w:pPr>
      <w:r>
        <w:rPr>
          <w:sz w:val="21"/>
          <w:szCs w:val="21"/>
        </w:rPr>
        <w:t xml:space="preserve">For a data center forming part of a larger building, the recovered waste heat can be used by other parts of that building.</w:t>
      </w:r>
    </w:p>
    <w:p>
      <w:pPr>
        <w:pStyle w:val="ListParagraph"/>
        <w:numPr>
          <w:ilvl w:val="0"/>
          <w:numId w:val="2"/>
        </w:numPr>
        <w:spacing w:after="90"/>
      </w:pPr>
      <w:r>
        <w:rPr>
          <w:sz w:val="21"/>
          <w:szCs w:val="21"/>
        </w:rPr>
        <w:t xml:space="preserve">For a dedicated data center, an adjacent building has to be the recipient, offsetting utility purchased energy.</w:t>
      </w:r>
    </w:p>
    <w:p>
      <w:pPr>
        <w:pStyle w:val="ListParagraph"/>
        <w:numPr>
          <w:ilvl w:val="0"/>
          <w:numId w:val="2"/>
        </w:numPr>
        <w:spacing w:after="90"/>
      </w:pPr>
      <w:r>
        <w:rPr>
          <w:sz w:val="21"/>
          <w:szCs w:val="21"/>
        </w:rPr>
        <w:t xml:space="preserve">Projects already underway are not eligible.</w:t>
      </w:r>
    </w:p>
    <w:p>
      <w:pPr>
        <w:spacing w:after="140"/>
      </w:pPr>
      <w:r>
        <w:rPr>
          <w:sz w:val="21"/>
          <w:szCs w:val="21"/>
        </w:rPr>
        <w:t xml:space="preserve">Two structural consequences. The benefit is measured as reduced purchased energy at the recipient, not as heat delivered. And a standalone facility with no adjacent recipient does not qualify however good its recovery loop is.</w:t>
      </w:r>
    </w:p>
    <w:p>
      <w:pPr>
        <w:spacing w:after="80" w:before="160"/>
      </w:pPr>
      <w:r>
        <w:rPr>
          <w:b/>
          <w:bCs/>
          <w:sz w:val="21"/>
          <w:szCs w:val="21"/>
        </w:rPr>
        <w:t xml:space="preserve">Mechanics and exclusions</w:t>
      </w:r>
    </w:p>
    <w:p>
      <w:pPr>
        <w:pStyle w:val="ListParagraph"/>
        <w:numPr>
          <w:ilvl w:val="0"/>
          <w:numId w:val="2"/>
        </w:numPr>
        <w:spacing w:after="90"/>
      </w:pPr>
      <w:r>
        <w:rPr>
          <w:sz w:val="21"/>
          <w:szCs w:val="21"/>
        </w:rPr>
        <w:t xml:space="preserve">Categories 1 to 3 covered all existing buildings in New York State excluding single family, across commercial, multifamily, institutional and industrial sectors. New construction excluded.</w:t>
      </w:r>
    </w:p>
    <w:p>
      <w:pPr>
        <w:pStyle w:val="ListParagraph"/>
        <w:numPr>
          <w:ilvl w:val="0"/>
          <w:numId w:val="2"/>
        </w:numPr>
        <w:spacing w:after="90"/>
      </w:pPr>
      <w:r>
        <w:rPr>
          <w:sz w:val="21"/>
          <w:szCs w:val="21"/>
        </w:rPr>
        <w:t xml:space="preserve">Project teams had to include a building owner and an engineering consultant.</w:t>
      </w:r>
    </w:p>
    <w:p>
      <w:pPr>
        <w:pStyle w:val="ListParagraph"/>
        <w:numPr>
          <w:ilvl w:val="0"/>
          <w:numId w:val="2"/>
        </w:numPr>
        <w:spacing w:after="90"/>
      </w:pPr>
      <w:r>
        <w:rPr>
          <w:sz w:val="21"/>
          <w:szCs w:val="21"/>
        </w:rPr>
        <w:t xml:space="preserve">The February 2025 update opened Category 1 to both System Benefits Charge and non contributing customers.</w:t>
      </w:r>
    </w:p>
    <w:p>
      <w:pPr>
        <w:pStyle w:val="ListParagraph"/>
        <w:numPr>
          <w:ilvl w:val="0"/>
          <w:numId w:val="2"/>
        </w:numPr>
        <w:spacing w:after="90"/>
      </w:pPr>
      <w:r>
        <w:rPr>
          <w:sz w:val="21"/>
          <w:szCs w:val="21"/>
        </w:rPr>
        <w:t xml:space="preserve">Low to moderate income multifamily was eligible for up to 100 per cent cost share, with 3 million USD of the original 12 million USD ring fenced for it.</w:t>
      </w:r>
    </w:p>
    <w:p>
      <w:pPr>
        <w:pStyle w:val="ListParagraph"/>
        <w:numPr>
          <w:ilvl w:val="0"/>
          <w:numId w:val="2"/>
        </w:numPr>
        <w:spacing w:after="90"/>
      </w:pPr>
      <w:r>
        <w:rPr>
          <w:sz w:val="21"/>
          <w:szCs w:val="21"/>
        </w:rPr>
        <w:t xml:space="preserve">Work completed before application was not reimbursable. The applicant could be the customer, the consultant or another team member.</w:t>
      </w:r>
    </w:p>
    <w:p>
      <w:pPr>
        <w:pStyle w:val="ListParagraph"/>
        <w:numPr>
          <w:ilvl w:val="0"/>
          <w:numId w:val="2"/>
        </w:numPr>
        <w:spacing w:after="90"/>
      </w:pPr>
      <w:r>
        <w:rPr>
          <w:sz w:val="21"/>
          <w:szCs w:val="21"/>
        </w:rPr>
        <w:t xml:space="preserve">Category 3 was reviewed in rounds, not rolling. Deadlines on record: 7 November 2024, and 3 June 2025 for Round 2.</w:t>
      </w:r>
    </w:p>
    <w:p>
      <w:pPr>
        <w:pStyle w:val="ListParagraph"/>
        <w:numPr>
          <w:ilvl w:val="0"/>
          <w:numId w:val="2"/>
        </w:numPr>
        <w:spacing w:after="90"/>
      </w:pPr>
      <w:r>
        <w:rPr>
          <w:sz w:val="21"/>
          <w:szCs w:val="21"/>
        </w:rPr>
        <w:t xml:space="preserve">Categories 1, 2 and 4 ran open enrollment until 17 November 2025 at 3pm.</w:t>
      </w:r>
    </w:p>
    <w:p>
      <w:pPr>
        <w:pStyle w:val="ListParagraph"/>
        <w:numPr>
          <w:ilvl w:val="0"/>
          <w:numId w:val="2"/>
        </w:numPr>
        <w:spacing w:after="90"/>
      </w:pPr>
      <w:r>
        <w:rPr>
          <w:sz w:val="21"/>
          <w:szCs w:val="21"/>
        </w:rPr>
        <w:t xml:space="preserve">Non stackability: projects receiving or planning to receive incentives from other Clean Energy Fund programs or utility administered incentives are not eligible for the same measures and activities.</w:t>
      </w:r>
    </w:p>
    <w:p>
      <w:pPr>
        <w:spacing w:after="140"/>
      </w:pPr>
      <w:r>
        <w:rPr>
          <w:sz w:val="21"/>
          <w:szCs w:val="21"/>
        </w:rPr>
        <w:t xml:space="preserve">The stated program goal was to grow the pool of completed heat recovery projects in New York State from ten to one hundred, using the Empire Building Challenge as the evidence base. The live program page now carries only tools, the qualified manufacturer list, case study videos and an archive whose most recent entry is a NY-GEO panel of 25 March 2026.</w:t>
      </w:r>
    </w:p>
    <w:p>
      <w:pPr>
        <w:spacing w:after="200" w:before="80"/>
      </w:pPr>
      <w:r>
        <w:rPr>
          <w:i/>
          <w:iCs/>
          <w:color w:val="666666"/>
          <w:sz w:val="17"/>
          <w:szCs w:val="17"/>
        </w:rPr>
        <w:t xml:space="preserve">Source: nyserda.ny.gov 2023 announcement, Heat Recovery Program page, fact sheet, February 2025 update deck, PON 5547 question and answer guides; Data Center Dynamics, 4 September 2024; Capital Region Chamber, March 2025.</w:t>
      </w:r>
    </w:p>
    <w:p>
      <w:pPr>
        <w:pStyle w:val="Heading2"/>
        <w:spacing w:after="120" w:before="280"/>
      </w:pPr>
      <w:r>
        <w:rPr>
          <w:b/>
          <w:bCs/>
          <w:color w:val="B02020"/>
          <w:sz w:val="24"/>
          <w:szCs w:val="24"/>
        </w:rPr>
        <w:t xml:space="preserve">6.2 Heat Recovery Solutions, RFQL 5217, live</w:t>
      </w:r>
    </w:p>
    <w:p>
      <w:pPr>
        <w:spacing w:after="140"/>
      </w:pPr>
      <w:r>
        <w:rPr>
          <w:sz w:val="21"/>
          <w:szCs w:val="21"/>
        </w:rPr>
        <w:t xml:space="preserve">A qualification rather than a grant, and the one live door into the heat recovery program. NYSERDA recruited and selected qualified manufacturers of heat recovery solutions to support adoption by New York real estate decision makers, architects, engineers and construction professionals. Qualified providers and products are published on the Heat Recovery Solutions page.</w:t>
      </w:r>
    </w:p>
    <w:p>
      <w:pPr>
        <w:pStyle w:val="ListParagraph"/>
        <w:numPr>
          <w:ilvl w:val="0"/>
          <w:numId w:val="2"/>
        </w:numPr>
        <w:spacing w:after="90"/>
      </w:pPr>
      <w:r>
        <w:rPr>
          <w:sz w:val="21"/>
          <w:szCs w:val="21"/>
        </w:rPr>
        <w:t xml:space="preserve">Gives access to the New York retrofit market through a vetted published list.</w:t>
      </w:r>
    </w:p>
    <w:p>
      <w:pPr>
        <w:pStyle w:val="ListParagraph"/>
        <w:numPr>
          <w:ilvl w:val="0"/>
          <w:numId w:val="2"/>
        </w:numPr>
        <w:spacing w:after="90"/>
      </w:pPr>
      <w:r>
        <w:rPr>
          <w:sz w:val="21"/>
          <w:szCs w:val="21"/>
        </w:rPr>
        <w:t xml:space="preserve">Gives support for heat recovery knowledge and technology transfer.</w:t>
      </w:r>
    </w:p>
    <w:p>
      <w:pPr>
        <w:pStyle w:val="ListParagraph"/>
        <w:numPr>
          <w:ilvl w:val="0"/>
          <w:numId w:val="2"/>
        </w:numPr>
        <w:spacing w:after="90"/>
      </w:pPr>
      <w:r>
        <w:rPr>
          <w:sz w:val="21"/>
          <w:szCs w:val="21"/>
        </w:rPr>
        <w:t xml:space="preserve">Gives participation in exchanges with key market stakeholders, including the roundtable series.</w:t>
      </w:r>
    </w:p>
    <w:p>
      <w:pPr>
        <w:pStyle w:val="ListParagraph"/>
        <w:numPr>
          <w:ilvl w:val="0"/>
          <w:numId w:val="2"/>
        </w:numPr>
        <w:spacing w:after="90"/>
      </w:pPr>
      <w:r>
        <w:rPr>
          <w:sz w:val="21"/>
          <w:szCs w:val="21"/>
        </w:rPr>
        <w:t xml:space="preserve">Is the gate to Category 4 when that category is open.</w:t>
      </w:r>
    </w:p>
    <w:p>
      <w:pPr>
        <w:pStyle w:val="ListParagraph"/>
        <w:numPr>
          <w:ilvl w:val="0"/>
          <w:numId w:val="2"/>
        </w:numPr>
        <w:spacing w:after="90"/>
      </w:pPr>
      <w:r>
        <w:rPr>
          <w:sz w:val="21"/>
          <w:szCs w:val="21"/>
        </w:rPr>
        <w:t xml:space="preserve">Selection criteria begin with heat recovery effectiveness.</w:t>
      </w:r>
    </w:p>
    <w:p>
      <w:pPr>
        <w:spacing w:after="200" w:before="80"/>
      </w:pPr>
      <w:r>
        <w:rPr>
          <w:i/>
          <w:iCs/>
          <w:color w:val="666666"/>
          <w:sz w:val="17"/>
          <w:szCs w:val="17"/>
        </w:rPr>
        <w:t xml:space="preserve">Source: nyserda.ny.gov Heat Recovery Solutions page; Heat Recovery Roundtable deck, 31 January 2024.</w:t>
      </w:r>
    </w:p>
    <w:p>
      <w:pPr>
        <w:pStyle w:val="Heading2"/>
        <w:spacing w:after="120" w:before="280"/>
      </w:pPr>
      <w:r>
        <w:rPr>
          <w:b/>
          <w:bCs/>
          <w:color w:val="B02020"/>
          <w:sz w:val="24"/>
          <w:szCs w:val="24"/>
        </w:rPr>
        <w:t xml:space="preserve">6.3 Large-Scale Thermal, live</w:t>
      </w:r>
    </w:p>
    <w:p>
      <w:pPr>
        <w:spacing w:after="140"/>
      </w:pPr>
      <w:r>
        <w:rPr>
          <w:sz w:val="21"/>
          <w:szCs w:val="21"/>
        </w:rPr>
        <w:t xml:space="preserve">The live program in which waste heat is an explicitly named eligible resource. Announced 25 June 2024 with 10 million USD, competitively awarded to colleges and universities, multifamily complexes, medical campuses and communities, for projects using heat pumps and low carbon thermal resources.</w:t>
      </w:r>
    </w:p>
    <w:p>
      <w:pPr>
        <w:spacing w:after="80" w:before="160"/>
      </w:pPr>
      <w:r>
        <w:rPr>
          <w:b/>
          <w:bCs/>
          <w:sz w:val="21"/>
          <w:szCs w:val="21"/>
        </w:rPr>
        <w:t xml:space="preserve">Named eligible thermal resources</w:t>
      </w:r>
    </w:p>
    <w:p>
      <w:pPr>
        <w:spacing w:after="140"/>
      </w:pPr>
      <w:r>
        <w:rPr>
          <w:sz w:val="21"/>
          <w:szCs w:val="21"/>
        </w:rPr>
        <w:t xml:space="preserve">Geothermal. Wastewater. Waste heat. Surface water. Thermal energy storage.</w:t>
      </w:r>
    </w:p>
    <w:p>
      <w:pPr>
        <w:spacing w:after="140"/>
      </w:pPr>
      <w:r>
        <w:rPr>
          <w:sz w:val="21"/>
          <w:szCs w:val="21"/>
        </w:rPr>
        <w:t xml:space="preserve">Sites may be a single large building or multiple co located buildings, for example multiple buildings served by a shared thermal system or resource, either existing or new construction. New construction eligibility is a material difference from the Heat Recovery Program, which excluded it.</w:t>
      </w:r>
    </w:p>
    <w:p>
      <w:pPr>
        <w:spacing w:after="80" w:before="160"/>
      </w:pPr>
      <w:r>
        <w:rPr>
          <w:b/>
          <w:bCs/>
          <w:sz w:val="21"/>
          <w:szCs w:val="21"/>
        </w:rPr>
        <w:t xml:space="preserve">Route</w:t>
      </w:r>
    </w:p>
    <w:p>
      <w:pPr>
        <w:pStyle w:val="ListParagraph"/>
        <w:numPr>
          <w:ilvl w:val="0"/>
          <w:numId w:val="2"/>
        </w:numPr>
        <w:spacing w:after="90"/>
      </w:pPr>
      <w:r>
        <w:rPr>
          <w:sz w:val="21"/>
          <w:szCs w:val="21"/>
        </w:rPr>
        <w:t xml:space="preserve">Feasibility: cost shared study through FlexTech.</w:t>
      </w:r>
    </w:p>
    <w:p>
      <w:pPr>
        <w:pStyle w:val="ListParagraph"/>
        <w:numPr>
          <w:ilvl w:val="0"/>
          <w:numId w:val="2"/>
        </w:numPr>
        <w:spacing w:after="90"/>
      </w:pPr>
      <w:r>
        <w:rPr>
          <w:sz w:val="21"/>
          <w:szCs w:val="21"/>
        </w:rPr>
        <w:t xml:space="preserve">Design: proposal for design funding through PON 5614 if feasibility finds a fit. A Round 3 was announced at a 19 March informational webinar, with a pre bid webinar on 11 July.</w:t>
      </w:r>
    </w:p>
    <w:p>
      <w:pPr>
        <w:pStyle w:val="ListParagraph"/>
        <w:numPr>
          <w:ilvl w:val="0"/>
          <w:numId w:val="2"/>
        </w:numPr>
        <w:spacing w:after="90"/>
      </w:pPr>
      <w:r>
        <w:rPr>
          <w:sz w:val="21"/>
          <w:szCs w:val="21"/>
        </w:rPr>
        <w:t xml:space="preserve">NYSERDA has funded feasibility studies at more than fifty project sites statewide and publishes a solution provider list. Using a listed company is not required.</w:t>
      </w:r>
    </w:p>
    <w:p>
      <w:pPr>
        <w:spacing w:after="80" w:before="160"/>
      </w:pPr>
      <w:r>
        <w:rPr>
          <w:b/>
          <w:bCs/>
          <w:sz w:val="21"/>
          <w:szCs w:val="21"/>
        </w:rPr>
        <w:t xml:space="preserve">Terminology and the anchor offtaker model</w:t>
      </w:r>
    </w:p>
    <w:p>
      <w:pPr>
        <w:spacing w:after="140"/>
      </w:pPr>
      <w:r>
        <w:rPr>
          <w:sz w:val="21"/>
          <w:szCs w:val="21"/>
        </w:rPr>
        <w:t xml:space="preserve">NYSERDA uses community thermal energy network, CTEN, for the multi building case, defining a thermal energy network as a network of pipes connecting multiple buildings, often including a large anchor offtaker such as a college, university or hospital, to thermal sources and sinks including geothermal, surface water, waste heat and air, providing space heating, cooling and domestic hot water. The Clean Energy Communities program treats thermal energy networks as a High Impact Action for municipalities, which adds a municipal adoption pathway alongside the funding one.</w:t>
      </w:r>
    </w:p>
    <w:p>
      <w:pPr>
        <w:spacing w:after="140"/>
      </w:pPr>
      <w:r>
        <w:rPr>
          <w:sz w:val="21"/>
          <w:szCs w:val="21"/>
        </w:rPr>
        <w:t xml:space="preserve">The predecessor, PON 4614 Community Heat Pump Systems, made Category C system design awards running to several million USD, one example being 3.9 million USD for a fully electric building on closed loop geothermal with 320 boreholes at 152 m (500 ft).</w:t>
      </w:r>
    </w:p>
    <w:p>
      <w:pPr>
        <w:spacing w:after="200" w:before="80"/>
      </w:pPr>
      <w:r>
        <w:rPr>
          <w:i/>
          <w:iCs/>
          <w:color w:val="666666"/>
          <w:sz w:val="17"/>
          <w:szCs w:val="17"/>
        </w:rPr>
        <w:t xml:space="preserve">Source: nyserda.ny.gov 2024 announcement; Large-Scale Thermal, Access Services and Funding, and Clean Energy Communities pages; IGSHPA 2025 conference presentation.</w:t>
      </w:r>
    </w:p>
    <w:p>
      <w:pPr>
        <w:pStyle w:val="Heading2"/>
        <w:spacing w:after="120" w:before="280"/>
      </w:pPr>
      <w:r>
        <w:rPr>
          <w:b/>
          <w:bCs/>
          <w:color w:val="B02020"/>
          <w:sz w:val="24"/>
          <w:szCs w:val="24"/>
        </w:rPr>
        <w:t xml:space="preserve">6.4 FlexTech, PON 4192, live</w:t>
      </w:r>
    </w:p>
    <w:p>
      <w:pPr>
        <w:spacing w:after="140"/>
      </w:pPr>
      <w:r>
        <w:rPr>
          <w:sz w:val="21"/>
          <w:szCs w:val="21"/>
        </w:rPr>
        <w:t xml:space="preserve">The cheapest and most flexible instrument in the estate. Cost shares an objective, site specific, targeted study on how best to implement clean energy or energy efficiency technologies. Thermal Energy Network Study is a named primary service.</w:t>
      </w:r>
    </w:p>
    <w:p>
      <w:pPr>
        <w:spacing w:after="80" w:before="160"/>
      </w:pPr>
      <w:r>
        <w:rPr>
          <w:b/>
          <w:bCs/>
          <w:sz w:val="21"/>
          <w:szCs w:val="21"/>
        </w:rPr>
        <w:t xml:space="preserve">Eligibility</w:t>
      </w:r>
    </w:p>
    <w:p>
      <w:pPr>
        <w:pStyle w:val="ListParagraph"/>
        <w:numPr>
          <w:ilvl w:val="0"/>
          <w:numId w:val="2"/>
        </w:numPr>
        <w:spacing w:after="90"/>
      </w:pPr>
      <w:r>
        <w:rPr>
          <w:sz w:val="21"/>
          <w:szCs w:val="21"/>
        </w:rPr>
        <w:t xml:space="preserve">Commercial, industrial, institutional and multifamily facilities in New York State, including small businesses and not for profits.</w:t>
      </w:r>
    </w:p>
    <w:p>
      <w:pPr>
        <w:pStyle w:val="ListParagraph"/>
        <w:numPr>
          <w:ilvl w:val="0"/>
          <w:numId w:val="2"/>
        </w:numPr>
        <w:spacing w:after="90"/>
      </w:pPr>
      <w:r>
        <w:rPr>
          <w:sz w:val="21"/>
          <w:szCs w:val="21"/>
        </w:rPr>
        <w:t xml:space="preserve">Most participants must pay into the electric System Benefits Charge. Limited funds may be available for certain entities that do not, including industrial sites and affordable multifamily.</w:t>
      </w:r>
    </w:p>
    <w:p>
      <w:pPr>
        <w:pStyle w:val="ListParagraph"/>
        <w:numPr>
          <w:ilvl w:val="0"/>
          <w:numId w:val="2"/>
        </w:numPr>
        <w:spacing w:after="90"/>
      </w:pPr>
      <w:r>
        <w:rPr>
          <w:sz w:val="21"/>
          <w:szCs w:val="21"/>
        </w:rPr>
        <w:t xml:space="preserve">A third party technical assistance service provider is required for all projects. The customer may use the NYSERDA consultant list or an independent provider.</w:t>
      </w:r>
    </w:p>
    <w:p>
      <w:pPr>
        <w:pStyle w:val="ListParagraph"/>
        <w:numPr>
          <w:ilvl w:val="0"/>
          <w:numId w:val="2"/>
        </w:numPr>
        <w:spacing w:after="90"/>
      </w:pPr>
      <w:r>
        <w:rPr>
          <w:sz w:val="21"/>
          <w:szCs w:val="21"/>
        </w:rPr>
        <w:t xml:space="preserve">Colleges and universities must be Clean Green Campus members to receive any cost share at all.</w:t>
      </w:r>
    </w:p>
    <w:p>
      <w:pPr>
        <w:spacing w:after="80" w:before="160"/>
      </w:pPr>
      <w:r>
        <w:rPr>
          <w:b/>
          <w:bCs/>
          <w:sz w:val="21"/>
          <w:szCs w:val="21"/>
        </w:rPr>
        <w:t xml:space="preserve">Primary services</w:t>
      </w:r>
    </w:p>
    <w:p>
      <w:pPr>
        <w:spacing w:after="140"/>
      </w:pPr>
      <w:r>
        <w:rPr>
          <w:sz w:val="21"/>
          <w:szCs w:val="21"/>
        </w:rPr>
        <w:t xml:space="preserve">Targeted or Comprehensive Energy Study. Targeted or Comprehensive retro commissioning study. Climate Action Plan or Sustainability Plan. Clean Heating and Cooling Study. Thermal Energy Network Study. Energy Master Planning. Energy Advisor Services. School Bus Fleet Electrification Plans. Supporting services, cost shared only alongside a primary service, include renewable technology investigation, greenhouse gas inventory, permanent metering, and grant writing, some capped at 10,000 USD.</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2600"/>
        <w:gridCol w:w="2000"/>
        <w:gridCol w:w="4760"/>
      </w:tblGrid>
      <w:tr>
        <w:trPr>
          <w:tblHeader/>
        </w:trPr>
        <w:tc>
          <w:tcPr>
            <w:tcW w:type="dxa" w:w="2600"/>
            <w:shd w:fill="F2F2F2" w:color="auto" w:val="clear"/>
            <w:tcMar>
              <w:top w:type="dxa" w:w="80"/>
              <w:left w:type="dxa" w:w="110"/>
              <w:bottom w:type="dxa" w:w="80"/>
              <w:right w:type="dxa" w:w="110"/>
            </w:tcMar>
          </w:tcPr>
          <w:p>
            <w:r>
              <w:rPr>
                <w:b/>
                <w:bCs/>
                <w:sz w:val="18"/>
                <w:szCs w:val="18"/>
              </w:rPr>
              <w:t xml:space="preserve">Sector</w:t>
            </w:r>
          </w:p>
        </w:tc>
        <w:tc>
          <w:tcPr>
            <w:tcW w:type="dxa" w:w="2000"/>
            <w:shd w:fill="F2F2F2" w:color="auto" w:val="clear"/>
            <w:tcMar>
              <w:top w:type="dxa" w:w="80"/>
              <w:left w:type="dxa" w:w="110"/>
              <w:bottom w:type="dxa" w:w="80"/>
              <w:right w:type="dxa" w:w="110"/>
            </w:tcMar>
          </w:tcPr>
          <w:p>
            <w:r>
              <w:rPr>
                <w:b/>
                <w:bCs/>
                <w:sz w:val="18"/>
                <w:szCs w:val="18"/>
              </w:rPr>
              <w:t xml:space="preserve">Cost share</w:t>
            </w:r>
          </w:p>
        </w:tc>
        <w:tc>
          <w:tcPr>
            <w:tcW w:type="dxa" w:w="4760"/>
            <w:shd w:fill="F2F2F2" w:color="auto" w:val="clear"/>
            <w:tcMar>
              <w:top w:type="dxa" w:w="80"/>
              <w:left w:type="dxa" w:w="110"/>
              <w:bottom w:type="dxa" w:w="80"/>
              <w:right w:type="dxa" w:w="110"/>
            </w:tcMar>
          </w:tcPr>
          <w:p>
            <w:r>
              <w:rPr>
                <w:b/>
                <w:bCs/>
                <w:sz w:val="18"/>
                <w:szCs w:val="18"/>
              </w:rPr>
              <w:t xml:space="preserve">Notes</w:t>
            </w:r>
          </w:p>
        </w:tc>
      </w:tr>
      <w:tr>
        <w:trPr>
          <w:tblHeader w:val="false"/>
        </w:trPr>
        <w:tc>
          <w:tcPr>
            <w:tcW w:type="dxa" w:w="2600"/>
            <w:tcMar>
              <w:top w:type="dxa" w:w="80"/>
              <w:left w:type="dxa" w:w="110"/>
              <w:bottom w:type="dxa" w:w="80"/>
              <w:right w:type="dxa" w:w="110"/>
            </w:tcMar>
          </w:tcPr>
          <w:p>
            <w:r>
              <w:rPr>
                <w:sz w:val="18"/>
                <w:szCs w:val="18"/>
              </w:rPr>
              <w:t xml:space="preserve">Commercial</w:t>
            </w:r>
          </w:p>
        </w:tc>
        <w:tc>
          <w:tcPr>
            <w:tcW w:type="dxa" w:w="2000"/>
            <w:tcMar>
              <w:top w:type="dxa" w:w="80"/>
              <w:left w:type="dxa" w:w="110"/>
              <w:bottom w:type="dxa" w:w="80"/>
              <w:right w:type="dxa" w:w="110"/>
            </w:tcMar>
          </w:tcPr>
          <w:p>
            <w:r>
              <w:rPr>
                <w:sz w:val="18"/>
                <w:szCs w:val="18"/>
              </w:rPr>
              <w:t xml:space="preserve">50 to 75 per cent</w:t>
            </w:r>
          </w:p>
        </w:tc>
        <w:tc>
          <w:tcPr>
            <w:tcW w:type="dxa" w:w="4760"/>
            <w:tcMar>
              <w:top w:type="dxa" w:w="80"/>
              <w:left w:type="dxa" w:w="110"/>
              <w:bottom w:type="dxa" w:w="80"/>
              <w:right w:type="dxa" w:w="110"/>
            </w:tcMar>
          </w:tcPr>
          <w:p>
            <w:r>
              <w:rPr>
                <w:sz w:val="18"/>
                <w:szCs w:val="18"/>
              </w:rPr>
              <w:t xml:space="preserve">Cap up to 500,000 USD or up to 20 per cent of annual energy expenditure, whichever is less</w:t>
            </w:r>
          </w:p>
        </w:tc>
      </w:tr>
      <w:tr>
        <w:trPr>
          <w:tblHeader w:val="false"/>
        </w:trPr>
        <w:tc>
          <w:tcPr>
            <w:tcW w:type="dxa" w:w="2600"/>
            <w:tcMar>
              <w:top w:type="dxa" w:w="80"/>
              <w:left w:type="dxa" w:w="110"/>
              <w:bottom w:type="dxa" w:w="80"/>
              <w:right w:type="dxa" w:w="110"/>
            </w:tcMar>
          </w:tcPr>
          <w:p>
            <w:r>
              <w:rPr>
                <w:sz w:val="18"/>
                <w:szCs w:val="18"/>
              </w:rPr>
              <w:t xml:space="preserve">Industrial</w:t>
            </w:r>
          </w:p>
        </w:tc>
        <w:tc>
          <w:tcPr>
            <w:tcW w:type="dxa" w:w="2000"/>
            <w:tcMar>
              <w:top w:type="dxa" w:w="80"/>
              <w:left w:type="dxa" w:w="110"/>
              <w:bottom w:type="dxa" w:w="80"/>
              <w:right w:type="dxa" w:w="110"/>
            </w:tcMar>
          </w:tcPr>
          <w:p>
            <w:r>
              <w:rPr>
                <w:sz w:val="18"/>
                <w:szCs w:val="18"/>
              </w:rPr>
              <w:t xml:space="preserve">50 to 75 per cent</w:t>
            </w:r>
          </w:p>
        </w:tc>
        <w:tc>
          <w:tcPr>
            <w:tcW w:type="dxa" w:w="4760"/>
            <w:tcMar>
              <w:top w:type="dxa" w:w="80"/>
              <w:left w:type="dxa" w:w="110"/>
              <w:bottom w:type="dxa" w:w="80"/>
              <w:right w:type="dxa" w:w="110"/>
            </w:tcMar>
          </w:tcPr>
          <w:p>
            <w:r>
              <w:rPr>
                <w:sz w:val="18"/>
                <w:szCs w:val="18"/>
              </w:rPr>
              <w:t xml:space="preserve">Up to 75 per cent in a disadvantaged community or where investigating electrification, while funds are available</w:t>
            </w:r>
          </w:p>
        </w:tc>
      </w:tr>
      <w:tr>
        <w:trPr>
          <w:tblHeader w:val="false"/>
        </w:trPr>
        <w:tc>
          <w:tcPr>
            <w:tcW w:type="dxa" w:w="2600"/>
            <w:tcMar>
              <w:top w:type="dxa" w:w="80"/>
              <w:left w:type="dxa" w:w="110"/>
              <w:bottom w:type="dxa" w:w="80"/>
              <w:right w:type="dxa" w:w="110"/>
            </w:tcMar>
          </w:tcPr>
          <w:p>
            <w:r>
              <w:rPr>
                <w:sz w:val="18"/>
                <w:szCs w:val="18"/>
              </w:rPr>
              <w:t xml:space="preserve">P-12 Schools</w:t>
            </w:r>
          </w:p>
        </w:tc>
        <w:tc>
          <w:tcPr>
            <w:tcW w:type="dxa" w:w="2000"/>
            <w:tcMar>
              <w:top w:type="dxa" w:w="80"/>
              <w:left w:type="dxa" w:w="110"/>
              <w:bottom w:type="dxa" w:w="80"/>
              <w:right w:type="dxa" w:w="110"/>
            </w:tcMar>
          </w:tcPr>
          <w:p>
            <w:r>
              <w:rPr>
                <w:sz w:val="18"/>
                <w:szCs w:val="18"/>
              </w:rPr>
              <w:t xml:space="preserve">50 to 100 per cent</w:t>
            </w:r>
          </w:p>
        </w:tc>
        <w:tc>
          <w:tcPr>
            <w:tcW w:type="dxa" w:w="4760"/>
            <w:tcMar>
              <w:top w:type="dxa" w:w="80"/>
              <w:left w:type="dxa" w:w="110"/>
              <w:bottom w:type="dxa" w:w="80"/>
              <w:right w:type="dxa" w:w="110"/>
            </w:tcMar>
          </w:tcPr>
          <w:p>
            <w:r>
              <w:rPr>
                <w:sz w:val="18"/>
                <w:szCs w:val="18"/>
              </w:rPr>
              <w:t xml:space="preserve">For schools ineligible for Clean Green Schools. Non public schools in a disadvantaged community up to 100 per cent</w:t>
            </w:r>
          </w:p>
        </w:tc>
      </w:tr>
      <w:tr>
        <w:trPr>
          <w:tblHeader w:val="false"/>
        </w:trPr>
        <w:tc>
          <w:tcPr>
            <w:tcW w:type="dxa" w:w="2600"/>
            <w:tcMar>
              <w:top w:type="dxa" w:w="80"/>
              <w:left w:type="dxa" w:w="110"/>
              <w:bottom w:type="dxa" w:w="80"/>
              <w:right w:type="dxa" w:w="110"/>
            </w:tcMar>
          </w:tcPr>
          <w:p>
            <w:r>
              <w:rPr>
                <w:sz w:val="18"/>
                <w:szCs w:val="18"/>
              </w:rPr>
              <w:t xml:space="preserve">Multifamily, affordable</w:t>
            </w:r>
          </w:p>
        </w:tc>
        <w:tc>
          <w:tcPr>
            <w:tcW w:type="dxa" w:w="2000"/>
            <w:tcMar>
              <w:top w:type="dxa" w:w="80"/>
              <w:left w:type="dxa" w:w="110"/>
              <w:bottom w:type="dxa" w:w="80"/>
              <w:right w:type="dxa" w:w="110"/>
            </w:tcMar>
          </w:tcPr>
          <w:p>
            <w:r>
              <w:rPr>
                <w:sz w:val="18"/>
                <w:szCs w:val="18"/>
              </w:rPr>
              <w:t xml:space="preserve">75 per cent</w:t>
            </w:r>
          </w:p>
        </w:tc>
        <w:tc>
          <w:tcPr>
            <w:tcW w:type="dxa" w:w="4760"/>
            <w:tcMar>
              <w:top w:type="dxa" w:w="80"/>
              <w:left w:type="dxa" w:w="110"/>
              <w:bottom w:type="dxa" w:w="80"/>
              <w:right w:type="dxa" w:w="110"/>
            </w:tcMar>
          </w:tcPr>
          <w:p>
            <w:r>
              <w:rPr>
                <w:sz w:val="18"/>
                <w:szCs w:val="18"/>
              </w:rPr>
              <w:t xml:space="preserve">Minimum cost share provisions apply at low annual energy expenditure</w:t>
            </w:r>
          </w:p>
        </w:tc>
      </w:tr>
      <w:tr>
        <w:trPr>
          <w:tblHeader w:val="false"/>
        </w:trPr>
        <w:tc>
          <w:tcPr>
            <w:tcW w:type="dxa" w:w="2600"/>
            <w:tcMar>
              <w:top w:type="dxa" w:w="80"/>
              <w:left w:type="dxa" w:w="110"/>
              <w:bottom w:type="dxa" w:w="80"/>
              <w:right w:type="dxa" w:w="110"/>
            </w:tcMar>
          </w:tcPr>
          <w:p>
            <w:r>
              <w:rPr>
                <w:sz w:val="18"/>
                <w:szCs w:val="18"/>
              </w:rPr>
              <w:t xml:space="preserve">Multifamily, market rate</w:t>
            </w:r>
          </w:p>
        </w:tc>
        <w:tc>
          <w:tcPr>
            <w:tcW w:type="dxa" w:w="2000"/>
            <w:tcMar>
              <w:top w:type="dxa" w:w="80"/>
              <w:left w:type="dxa" w:w="110"/>
              <w:bottom w:type="dxa" w:w="80"/>
              <w:right w:type="dxa" w:w="110"/>
            </w:tcMar>
          </w:tcPr>
          <w:p>
            <w:r>
              <w:rPr>
                <w:sz w:val="18"/>
                <w:szCs w:val="18"/>
              </w:rPr>
              <w:t xml:space="preserve">50 per cent</w:t>
            </w:r>
          </w:p>
        </w:tc>
        <w:tc>
          <w:tcPr>
            <w:tcW w:type="dxa" w:w="4760"/>
            <w:tcMar>
              <w:top w:type="dxa" w:w="80"/>
              <w:left w:type="dxa" w:w="110"/>
              <w:bottom w:type="dxa" w:w="80"/>
              <w:right w:type="dxa" w:w="110"/>
            </w:tcMar>
          </w:tcPr>
          <w:p>
            <w:r>
              <w:rPr>
                <w:sz w:val="18"/>
                <w:szCs w:val="18"/>
              </w:rPr>
              <w:t xml:space="preserve"/>
            </w:r>
          </w:p>
        </w:tc>
      </w:tr>
      <w:tr>
        <w:trPr>
          <w:tblHeader w:val="false"/>
        </w:trPr>
        <w:tc>
          <w:tcPr>
            <w:tcW w:type="dxa" w:w="2600"/>
            <w:tcMar>
              <w:top w:type="dxa" w:w="80"/>
              <w:left w:type="dxa" w:w="110"/>
              <w:bottom w:type="dxa" w:w="80"/>
              <w:right w:type="dxa" w:w="110"/>
            </w:tcMar>
          </w:tcPr>
          <w:p>
            <w:r>
              <w:rPr>
                <w:sz w:val="18"/>
                <w:szCs w:val="18"/>
              </w:rPr>
              <w:t xml:space="preserve">Colleges and universities</w:t>
            </w:r>
          </w:p>
        </w:tc>
        <w:tc>
          <w:tcPr>
            <w:tcW w:type="dxa" w:w="2000"/>
            <w:tcMar>
              <w:top w:type="dxa" w:w="80"/>
              <w:left w:type="dxa" w:w="110"/>
              <w:bottom w:type="dxa" w:w="80"/>
              <w:right w:type="dxa" w:w="110"/>
            </w:tcMar>
          </w:tcPr>
          <w:p>
            <w:r>
              <w:rPr>
                <w:sz w:val="18"/>
                <w:szCs w:val="18"/>
              </w:rPr>
              <w:t xml:space="preserve">50 or 75 per cent</w:t>
            </w:r>
          </w:p>
        </w:tc>
        <w:tc>
          <w:tcPr>
            <w:tcW w:type="dxa" w:w="4760"/>
            <w:tcMar>
              <w:top w:type="dxa" w:w="80"/>
              <w:left w:type="dxa" w:w="110"/>
              <w:bottom w:type="dxa" w:w="80"/>
              <w:right w:type="dxa" w:w="110"/>
            </w:tcMar>
          </w:tcPr>
          <w:p>
            <w:r>
              <w:rPr>
                <w:sz w:val="18"/>
                <w:szCs w:val="18"/>
              </w:rPr>
              <w:t xml:space="preserve">Clean Green Campus membership required. 75 per cent where the project includes electrification investigation and the member is new to PON 4192</w:t>
            </w:r>
          </w:p>
        </w:tc>
      </w:tr>
      <w:tr>
        <w:trPr>
          <w:tblHeader w:val="false"/>
        </w:trPr>
        <w:tc>
          <w:tcPr>
            <w:tcW w:type="dxa" w:w="2600"/>
            <w:tcMar>
              <w:top w:type="dxa" w:w="80"/>
              <w:left w:type="dxa" w:w="110"/>
              <w:bottom w:type="dxa" w:w="80"/>
              <w:right w:type="dxa" w:w="110"/>
            </w:tcMar>
          </w:tcPr>
          <w:p>
            <w:r>
              <w:rPr>
                <w:sz w:val="18"/>
                <w:szCs w:val="18"/>
              </w:rPr>
              <w:t xml:space="preserve">Hospitals</w:t>
            </w:r>
          </w:p>
        </w:tc>
        <w:tc>
          <w:tcPr>
            <w:tcW w:type="dxa" w:w="2000"/>
            <w:tcMar>
              <w:top w:type="dxa" w:w="80"/>
              <w:left w:type="dxa" w:w="110"/>
              <w:bottom w:type="dxa" w:w="80"/>
              <w:right w:type="dxa" w:w="110"/>
            </w:tcMar>
          </w:tcPr>
          <w:p>
            <w:r>
              <w:rPr>
                <w:sz w:val="18"/>
                <w:szCs w:val="18"/>
              </w:rPr>
              <w:t xml:space="preserve">Up to 100 per cent</w:t>
            </w:r>
          </w:p>
        </w:tc>
        <w:tc>
          <w:tcPr>
            <w:tcW w:type="dxa" w:w="4760"/>
            <w:tcMar>
              <w:top w:type="dxa" w:w="80"/>
              <w:left w:type="dxa" w:w="110"/>
              <w:bottom w:type="dxa" w:w="80"/>
              <w:right w:type="dxa" w:w="110"/>
            </w:tcMar>
          </w:tcPr>
          <w:p>
            <w:r>
              <w:rPr>
                <w:sz w:val="18"/>
                <w:szCs w:val="18"/>
              </w:rPr>
              <w:t xml:space="preserve">Safety net and disadvantaged community hospitals, up to 1,000,000 USD, for a limited time</w:t>
            </w:r>
          </w:p>
        </w:tc>
      </w:tr>
    </w:tbl>
    <w:p>
      <w:pPr>
        <w:spacing w:after="140"/>
      </w:pPr>
      <w:r>
        <w:rPr>
          <w:sz w:val="21"/>
          <w:szCs w:val="21"/>
        </w:rPr>
        <w:t xml:space="preserve">NYSERDA reserves the right to adjust the annual energy expenditure cap per project.</w:t>
      </w:r>
    </w:p>
    <w:p>
      <w:pPr>
        <w:spacing w:after="200" w:before="80"/>
      </w:pPr>
      <w:r>
        <w:rPr>
          <w:i/>
          <w:iCs/>
          <w:color w:val="666666"/>
          <w:sz w:val="17"/>
          <w:szCs w:val="17"/>
        </w:rPr>
        <w:t xml:space="preserve">Source: NYSERDA Flexible Technical Assistance eligibility fact sheets; FlexTech Program page; NYSERDA Incentive Programs Winter 2025.</w:t>
      </w:r>
    </w:p>
    <w:p>
      <w:pPr>
        <w:pStyle w:val="Heading2"/>
        <w:spacing w:after="120" w:before="280"/>
      </w:pPr>
      <w:r>
        <w:rPr>
          <w:b/>
          <w:bCs/>
          <w:color w:val="B02020"/>
          <w:sz w:val="24"/>
          <w:szCs w:val="24"/>
        </w:rPr>
        <w:t xml:space="preserve">6.5 Empire Building Challenge</w:t>
      </w:r>
    </w:p>
    <w:p>
      <w:pPr>
        <w:spacing w:after="140"/>
      </w:pPr>
      <w:r>
        <w:rPr>
          <w:sz w:val="21"/>
          <w:szCs w:val="21"/>
        </w:rPr>
        <w:t xml:space="preserve">A partnership program, not a grant round. Advances design approaches for low carbon retrofits in New York high rise buildings through partnerships and funding for demonstration projects. All ten awarded projects featured heat recovery in some form as part of a phased decarbonisation retrofit, which is the evidence NYSERDA cites for treating heat recovery as a no regrets strategy.</w:t>
      </w:r>
    </w:p>
    <w:p>
      <w:pPr>
        <w:pStyle w:val="ListParagraph"/>
        <w:numPr>
          <w:ilvl w:val="0"/>
          <w:numId w:val="2"/>
        </w:numPr>
        <w:spacing w:after="90"/>
      </w:pPr>
      <w:r>
        <w:rPr>
          <w:sz w:val="21"/>
          <w:szCs w:val="21"/>
        </w:rPr>
        <w:t xml:space="preserve">Hudson 345. Phased retrofit deploying thermal networking, sharing and transporting heat within and between floors.</w:t>
      </w:r>
    </w:p>
    <w:p>
      <w:pPr>
        <w:pStyle w:val="ListParagraph"/>
        <w:numPr>
          <w:ilvl w:val="0"/>
          <w:numId w:val="2"/>
        </w:numPr>
        <w:spacing w:after="90"/>
      </w:pPr>
      <w:r>
        <w:rPr>
          <w:sz w:val="21"/>
          <w:szCs w:val="21"/>
        </w:rPr>
        <w:t xml:space="preserve">55 Water Street. Thermal battery capturing, storing and reusing heat to meet both heating and cooling needs, framed around Local Law 97 compliance.</w:t>
      </w:r>
    </w:p>
    <w:p>
      <w:pPr>
        <w:spacing w:after="200" w:before="80"/>
      </w:pPr>
      <w:r>
        <w:rPr>
          <w:i/>
          <w:iCs/>
          <w:color w:val="666666"/>
          <w:sz w:val="17"/>
          <w:szCs w:val="17"/>
        </w:rPr>
        <w:t xml:space="preserve">Source: nyserda.ny.gov Heat Recovery Program and Empire Building Challenge pages.</w:t>
      </w:r>
    </w:p>
    <w:p>
      <w:r>
        <w:br w:type="page"/>
      </w:r>
    </w:p>
    <w:p>
      <w:pPr>
        <w:pStyle w:val="Heading1"/>
        <w:spacing w:after="160" w:before="380"/>
      </w:pPr>
      <w:r>
        <w:rPr>
          <w:b/>
          <w:bCs/>
          <w:color w:val="222222"/>
          <w:sz w:val="30"/>
          <w:szCs w:val="30"/>
        </w:rPr>
        <w:t xml:space="preserve">7. P-12 Clean Green Schools, open until 18 August 2026</w:t>
      </w:r>
    </w:p>
    <w:p>
      <w:pPr>
        <w:spacing w:after="140"/>
      </w:pPr>
      <w:r>
        <w:rPr>
          <w:sz w:val="21"/>
          <w:szCs w:val="21"/>
        </w:rPr>
        <w:t xml:space="preserve">This is the live opportunity most directly connected to an existing MicroLink workstream, and the round that the earlier note recorded as unconfirmed. It opened on 27 April 2026.</w:t>
      </w:r>
    </w:p>
    <w:p>
      <w:pPr>
        <w:pStyle w:val="Heading2"/>
        <w:spacing w:after="120" w:before="280"/>
      </w:pPr>
      <w:r>
        <w:rPr>
          <w:b/>
          <w:bCs/>
          <w:color w:val="B02020"/>
          <w:sz w:val="24"/>
          <w:szCs w:val="24"/>
        </w:rPr>
        <w:t xml:space="preserve">7.1 The open round</w:t>
      </w:r>
    </w:p>
    <w:p>
      <w:pPr>
        <w:pStyle w:val="ListParagraph"/>
        <w:numPr>
          <w:ilvl w:val="0"/>
          <w:numId w:val="2"/>
        </w:numPr>
        <w:spacing w:after="90"/>
      </w:pPr>
      <w:r>
        <w:rPr>
          <w:sz w:val="21"/>
          <w:szCs w:val="21"/>
        </w:rPr>
        <w:t xml:space="preserve">Over 100 million USD available.</w:t>
      </w:r>
    </w:p>
    <w:p>
      <w:pPr>
        <w:pStyle w:val="ListParagraph"/>
        <w:numPr>
          <w:ilvl w:val="0"/>
          <w:numId w:val="2"/>
        </w:numPr>
        <w:spacing w:after="90"/>
      </w:pPr>
      <w:r>
        <w:rPr>
          <w:sz w:val="21"/>
          <w:szCs w:val="21"/>
        </w:rPr>
        <w:t xml:space="preserve">Proposals due 18 August 2026 by 3pm.</w:t>
      </w:r>
    </w:p>
    <w:p>
      <w:pPr>
        <w:pStyle w:val="ListParagraph"/>
        <w:numPr>
          <w:ilvl w:val="0"/>
          <w:numId w:val="2"/>
        </w:numPr>
        <w:spacing w:after="90"/>
      </w:pPr>
      <w:r>
        <w:rPr>
          <w:sz w:val="21"/>
          <w:szCs w:val="21"/>
        </w:rPr>
        <w:t xml:space="preserve">Incentive amounts start at 500,000 USD for qualifying projects.</w:t>
      </w:r>
    </w:p>
    <w:p>
      <w:pPr>
        <w:pStyle w:val="ListParagraph"/>
        <w:numPr>
          <w:ilvl w:val="0"/>
          <w:numId w:val="2"/>
        </w:numPr>
        <w:spacing w:after="90"/>
      </w:pPr>
      <w:r>
        <w:rPr>
          <w:sz w:val="21"/>
          <w:szCs w:val="21"/>
        </w:rPr>
        <w:t xml:space="preserve">Open to public school districts across New York State designated as Priority Districts, or where the public school buildings and Boards of Cooperative Educational Services buildings are located in a disadvantaged community as defined by the New York Climate Justice Working Group.</w:t>
      </w:r>
    </w:p>
    <w:p>
      <w:pPr>
        <w:pStyle w:val="ListParagraph"/>
        <w:numPr>
          <w:ilvl w:val="0"/>
          <w:numId w:val="2"/>
        </w:numPr>
        <w:spacing w:after="90"/>
      </w:pPr>
      <w:r>
        <w:rPr>
          <w:sz w:val="21"/>
          <w:szCs w:val="21"/>
        </w:rPr>
        <w:t xml:space="preserve">Eligible project types are retrofits that reduce energy consumption, electrification readiness projects, and conversion of central heating or cooling plants to clean energy technologies such as heat pumps.</w:t>
      </w:r>
    </w:p>
    <w:p>
      <w:pPr>
        <w:pStyle w:val="ListParagraph"/>
        <w:numPr>
          <w:ilvl w:val="0"/>
          <w:numId w:val="2"/>
        </w:numPr>
        <w:spacing w:after="90"/>
      </w:pPr>
      <w:r>
        <w:rPr>
          <w:sz w:val="21"/>
          <w:szCs w:val="21"/>
        </w:rPr>
        <w:t xml:space="preserve">Framed as helping schools reduce energy use and improve building energy efficiency while minimising exposure to extreme heat.</w:t>
      </w:r>
    </w:p>
    <w:p>
      <w:pPr>
        <w:pStyle w:val="ListParagraph"/>
        <w:numPr>
          <w:ilvl w:val="0"/>
          <w:numId w:val="2"/>
        </w:numPr>
        <w:spacing w:after="90"/>
      </w:pPr>
      <w:r>
        <w:rPr>
          <w:sz w:val="21"/>
          <w:szCs w:val="21"/>
        </w:rPr>
        <w:t xml:space="preserve">Funded through the Governor’s 1 billion USD Sustainable Future Program, described as the largest climate investment in New York history, and the Regional Greenhouse Gas Initiative.</w:t>
      </w:r>
    </w:p>
    <w:p>
      <w:pPr>
        <w:pStyle w:val="ListParagraph"/>
        <w:numPr>
          <w:ilvl w:val="0"/>
          <w:numId w:val="2"/>
        </w:numPr>
        <w:spacing w:after="90"/>
      </w:pPr>
      <w:r>
        <w:rPr>
          <w:sz w:val="21"/>
          <w:szCs w:val="21"/>
        </w:rPr>
        <w:t xml:space="preserve">An informational webinar was held 6 May 2026 at 10am.</w:t>
      </w:r>
    </w:p>
    <w:p>
      <w:pPr>
        <w:spacing w:after="140"/>
      </w:pPr>
      <w:r>
        <w:rPr>
          <w:sz w:val="21"/>
          <w:szCs w:val="21"/>
        </w:rPr>
        <w:t xml:space="preserve">Note the applicant. It is the district, not a vendor. A compute and heat partner enters as part of a district proposal, not as the proposer.</w:t>
      </w:r>
    </w:p>
    <w:p>
      <w:pPr>
        <w:spacing w:after="200" w:before="80"/>
      </w:pPr>
      <w:r>
        <w:rPr>
          <w:i/>
          <w:iCs/>
          <w:color w:val="666666"/>
          <w:sz w:val="17"/>
          <w:szCs w:val="17"/>
        </w:rPr>
        <w:t xml:space="preserve">Source: nyserda.ny.gov and governor.ny.gov announcements, 27 April 2026; news coverage, 27 to 29 April 2026.</w:t>
      </w:r>
    </w:p>
    <w:p>
      <w:pPr>
        <w:pStyle w:val="Heading2"/>
        <w:spacing w:after="120" w:before="280"/>
      </w:pPr>
      <w:r>
        <w:rPr>
          <w:b/>
          <w:bCs/>
          <w:color w:val="B02020"/>
          <w:sz w:val="24"/>
          <w:szCs w:val="24"/>
        </w:rPr>
        <w:t xml:space="preserve">7.2 Award record</w:t>
      </w:r>
    </w:p>
    <w:p>
      <w:pPr>
        <w:spacing w:after="140"/>
      </w:pPr>
      <w:r>
        <w:rPr>
          <w:sz w:val="21"/>
          <w:szCs w:val="21"/>
        </w:rPr>
        <w:t xml:space="preserve">Launched April 2022. More than 82 million USD awarded to 14 installation projects, funded through the Environmental Bond Act, the Regional Greenhouse Gas Initiative and the Clean Energy Fund. Alongside the April 2026 announcement, more than 41 million USD was awarded to five Priority Districts: Albany, Forestville, Newburgh, North Syracuse and the Tarrytowns, for heat pump installations and energy efficiency improvements. More than 10 million USD went to Albany City School District and more than 10 million USD to Newburgh Enlarged City School District. NYSERDA stated it was negotiating contracts with additional districts and expected to announce further awarded projects later in the year.</w:t>
      </w:r>
    </w:p>
    <w:p>
      <w:pPr>
        <w:spacing w:after="140"/>
      </w:pPr>
      <w:r>
        <w:rPr>
          <w:sz w:val="21"/>
          <w:szCs w:val="21"/>
        </w:rPr>
        <w:t xml:space="preserve">One earlier award for scale: 5,030,000 USD to install a ground source heat pump and air source heat pumps plus a building management system with demand control ventilation, affecting one middle school building, with educational opportunities built around the ground source heat pump.</w:t>
      </w:r>
    </w:p>
    <w:p>
      <w:pPr>
        <w:spacing w:after="200" w:before="80"/>
      </w:pPr>
      <w:r>
        <w:rPr>
          <w:i/>
          <w:iCs/>
          <w:color w:val="666666"/>
          <w:sz w:val="17"/>
          <w:szCs w:val="17"/>
        </w:rPr>
        <w:t xml:space="preserve">Source: nyserda.ny.gov Clean Green Schools Initiative and Track II Awardees pages; Westfair, 29 April 2026; News10, 28 April 2026.</w:t>
      </w:r>
    </w:p>
    <w:p>
      <w:pPr>
        <w:pStyle w:val="Heading2"/>
        <w:spacing w:after="120" w:before="280"/>
      </w:pPr>
      <w:r>
        <w:rPr>
          <w:b/>
          <w:bCs/>
          <w:color w:val="B02020"/>
          <w:sz w:val="24"/>
          <w:szCs w:val="24"/>
        </w:rPr>
        <w:t xml:space="preserve">7.3 Standing program structure</w:t>
      </w:r>
    </w:p>
    <w:p>
      <w:pPr>
        <w:pStyle w:val="ListParagraph"/>
        <w:numPr>
          <w:ilvl w:val="0"/>
          <w:numId w:val="2"/>
        </w:numPr>
        <w:spacing w:after="90"/>
      </w:pPr>
      <w:r>
        <w:rPr>
          <w:sz w:val="21"/>
          <w:szCs w:val="21"/>
        </w:rPr>
        <w:t xml:space="preserve">Budget stated at 59 million USD at launch, since supplemented by the rounds above.</w:t>
      </w:r>
    </w:p>
    <w:p>
      <w:pPr>
        <w:pStyle w:val="ListParagraph"/>
        <w:numPr>
          <w:ilvl w:val="0"/>
          <w:numId w:val="2"/>
        </w:numPr>
        <w:spacing w:after="90"/>
      </w:pPr>
      <w:r>
        <w:rPr>
          <w:sz w:val="21"/>
          <w:szCs w:val="21"/>
        </w:rPr>
        <w:t xml:space="preserve">Track I Planning, open enrollment, funded professional services including energy studies, an on site energy manager and fiscal advisors. Track I NYSERDA cap 150,000 USD as a building and district cap, with some standalone caps in addition. On site Energy Manager funding at up to 75 per cent cost share. Enrollment ran to 30 December 2025.</w:t>
      </w:r>
    </w:p>
    <w:p>
      <w:pPr>
        <w:pStyle w:val="ListParagraph"/>
        <w:numPr>
          <w:ilvl w:val="0"/>
          <w:numId w:val="2"/>
        </w:numPr>
        <w:spacing w:after="90"/>
      </w:pPr>
      <w:r>
        <w:rPr>
          <w:sz w:val="21"/>
          <w:szCs w:val="21"/>
        </w:rPr>
        <w:t xml:space="preserve">Track II Installation, competitive, funding construction. Project costs fundable up to 100 per cent net of other funding sources, with NYSERDA funding not exceeding 100 per cent of project cost. State Aid and local utility funding encouraged alongside.</w:t>
      </w:r>
    </w:p>
    <w:p>
      <w:pPr>
        <w:pStyle w:val="ListParagraph"/>
        <w:numPr>
          <w:ilvl w:val="0"/>
          <w:numId w:val="2"/>
        </w:numPr>
        <w:spacing w:after="90"/>
      </w:pPr>
      <w:r>
        <w:rPr>
          <w:sz w:val="21"/>
          <w:szCs w:val="21"/>
        </w:rPr>
        <w:t xml:space="preserve">Eligibility historically: existing public school buildings designated High Needs by the New York State Education Department or located in a disadvantaged community. System Benefits Charge contribution is not required, which is unusual across the estate and materially widens the eligible set.</w:t>
      </w:r>
    </w:p>
    <w:p>
      <w:pPr>
        <w:pStyle w:val="ListParagraph"/>
        <w:numPr>
          <w:ilvl w:val="0"/>
          <w:numId w:val="2"/>
        </w:numPr>
        <w:spacing w:after="90"/>
      </w:pPr>
      <w:r>
        <w:rPr>
          <w:sz w:val="21"/>
          <w:szCs w:val="21"/>
        </w:rPr>
        <w:t xml:space="preserve">Building Aid. A provision in the enacted FY2023 state budget eliminates the reduction in Building Aid districts would otherwise face for projects receiving a Clean Green Schools grant. Districts are not penalised in state aid for taking the money.</w:t>
      </w:r>
    </w:p>
    <w:p>
      <w:pPr>
        <w:spacing w:after="80" w:before="160"/>
      </w:pPr>
      <w:r>
        <w:rPr>
          <w:b/>
          <w:bCs/>
          <w:sz w:val="21"/>
          <w:szCs w:val="21"/>
        </w:rPr>
        <w:t xml:space="preserve">Award criteria on record</w:t>
      </w:r>
    </w:p>
    <w:p>
      <w:pPr>
        <w:spacing w:after="140"/>
      </w:pPr>
      <w:r>
        <w:rPr>
          <w:sz w:val="21"/>
          <w:szCs w:val="21"/>
        </w:rPr>
        <w:t xml:space="preserve">Impact on reducing fossil fuel consumption and transition to clean heating and cooling. Appropriate ventilation and filtration. Integration of student engagement activities. Stage and viability of the project. Resiliency components. Expanded use of the school or schools to support the community. A completed and reasonable budget. Projects mixing clean heating and cooling with other decarbonisation measures are evaluated under the clean heating and cooling criteria.</w:t>
      </w:r>
    </w:p>
    <w:p>
      <w:pPr>
        <w:spacing w:after="140"/>
      </w:pPr>
      <w:r>
        <w:rPr>
          <w:sz w:val="21"/>
          <w:szCs w:val="21"/>
        </w:rPr>
        <w:t xml:space="preserve">The community use and student engagement criteria are scored, not decorative. They are where a curriculum, connectivity or food element attaches to an energy proposal.</w:t>
      </w:r>
    </w:p>
    <w:p>
      <w:pPr>
        <w:spacing w:after="200" w:before="80"/>
      </w:pPr>
      <w:r>
        <w:rPr>
          <w:i/>
          <w:iCs/>
          <w:color w:val="666666"/>
          <w:sz w:val="17"/>
          <w:szCs w:val="17"/>
        </w:rPr>
        <w:t xml:space="preserve">Source: Clean Green Schools Initiative PON 4924 webinar decks, May 2022 and February 2024; nyserda.ny.gov P-12 pages; FlexTech eligibility fact sheet.</w:t>
      </w:r>
    </w:p>
    <w:p>
      <w:r>
        <w:br w:type="page"/>
      </w:r>
    </w:p>
    <w:p>
      <w:pPr>
        <w:pStyle w:val="Heading1"/>
        <w:spacing w:after="160" w:before="380"/>
      </w:pPr>
      <w:r>
        <w:rPr>
          <w:b/>
          <w:bCs/>
          <w:color w:val="222222"/>
          <w:sz w:val="30"/>
          <w:szCs w:val="30"/>
        </w:rPr>
        <w:t xml:space="preserve">8. The rest of the estate</w:t>
      </w:r>
    </w:p>
    <w:p>
      <w:pPr>
        <w:pStyle w:val="Heading2"/>
        <w:spacing w:after="120" w:before="280"/>
      </w:pPr>
      <w:r>
        <w:rPr>
          <w:b/>
          <w:bCs/>
          <w:color w:val="B02020"/>
          <w:sz w:val="24"/>
          <w:szCs w:val="24"/>
        </w:rPr>
        <w:t xml:space="preserve">8.1 Advanced fuels and waste conversion</w:t>
      </w:r>
    </w:p>
    <w:p>
      <w:pPr>
        <w:spacing w:after="140"/>
      </w:pPr>
      <w:r>
        <w:rPr>
          <w:sz w:val="21"/>
          <w:szCs w:val="21"/>
        </w:rPr>
        <w:t xml:space="preserve">NYSERDA has allocated 37.5 million USD from FY2024 to FY2029 to the Advanced Fuels Innovation program area, based on the New York Regional Greenhouse Gas Initiative Operating Plan Amendment for 2026. The stated focus is fuel production from waste resources generated in New York State, and first time in state demonstrations of low carbon fuel products for hard to electrify sectors including heavy duty transportation, industry, aviation, maritime, and low capacity factor firm resources.</w:t>
      </w:r>
    </w:p>
    <w:p>
      <w:pPr>
        <w:spacing w:after="140"/>
      </w:pPr>
      <w:r>
        <w:rPr>
          <w:sz w:val="21"/>
          <w:szCs w:val="21"/>
        </w:rPr>
        <w:t xml:space="preserve">The most recent closed round, PON 6031 Waste to Low-Carbon Fuels Pilot and Demonstration at up to 7.8 million USD announced 20 August 2025, converted municipal solid waste organics, landfill gas, wastewater sludge, agricultural residues and captured carbon dioxide into sustainable aviation fuel, renewable natural gas, renewable diesel, clean methanol or e-fuels. Ammonia, biogas and hydrogen were not eligible fuels.</w:t>
      </w:r>
    </w:p>
    <w:p>
      <w:pPr>
        <w:spacing w:after="140"/>
      </w:pPr>
      <w:r>
        <w:rPr>
          <w:sz w:val="21"/>
          <w:szCs w:val="21"/>
        </w:rPr>
        <w:t xml:space="preserve">The team requirement is worth noting because it recurs. Proposals were accepted from teams composed of a technology provider and an engineering, procurement and construction firm, which also had to secure letters of commitment from a host site partner, a feedstock partner and an end user partner. Four party commitment, in writing, at proposal stage.</w:t>
      </w:r>
    </w:p>
    <w:p>
      <w:pPr>
        <w:spacing w:after="140"/>
      </w:pPr>
      <w:r>
        <w:rPr>
          <w:sz w:val="21"/>
          <w:szCs w:val="21"/>
        </w:rPr>
        <w:t xml:space="preserve">NYSERDA also published a Feasibility Study for Renewable Fuel Production from Waste Resources in New York State, report number 25-20, covering resource assessment, infrastructure, conversion pathway modelling, emissions analysis and facility siting across gasification, pyrolysis, hydrothermal liquefaction and hydroprocessing. The report explicitly names electricity as a waste utilisation pathway that its comparative analysis could be extended to.</w:t>
      </w:r>
    </w:p>
    <w:p>
      <w:pPr>
        <w:spacing w:after="200" w:before="80"/>
      </w:pPr>
      <w:r>
        <w:rPr>
          <w:i/>
          <w:iCs/>
          <w:color w:val="666666"/>
          <w:sz w:val="17"/>
          <w:szCs w:val="17"/>
        </w:rPr>
        <w:t xml:space="preserve">Source: nyserda.ny.gov Alternative Fuels page; NYSERDA announcement 20 August 2025; NYSERDA report 25-20.</w:t>
      </w:r>
    </w:p>
    <w:p>
      <w:pPr>
        <w:pStyle w:val="Heading2"/>
        <w:spacing w:after="120" w:before="280"/>
      </w:pPr>
      <w:r>
        <w:rPr>
          <w:b/>
          <w:bCs/>
          <w:color w:val="B02020"/>
          <w:sz w:val="24"/>
          <w:szCs w:val="24"/>
        </w:rPr>
        <w:t xml:space="preserve">8.2 Just Transition Site Reuse Planning, PON 4563</w:t>
      </w:r>
    </w:p>
    <w:p>
      <w:pPr>
        <w:spacing w:after="140"/>
      </w:pPr>
      <w:r>
        <w:rPr>
          <w:sz w:val="21"/>
          <w:szCs w:val="21"/>
        </w:rPr>
        <w:t xml:space="preserve">Planning and technical support to communities to mitigate the impacts of pending or future fossil fuel power plant closures. NYSERDA provides 100 per cent of the site reuse planning costs with no cost share required of the applicant, working through appointed Site Reuse Planning Contractors who produce a Site Reuse Planning Study.</w:t>
      </w:r>
    </w:p>
    <w:p>
      <w:pPr>
        <w:spacing w:after="80" w:before="160"/>
      </w:pPr>
      <w:r>
        <w:rPr>
          <w:b/>
          <w:bCs/>
          <w:sz w:val="21"/>
          <w:szCs w:val="21"/>
        </w:rPr>
        <w:t xml:space="preserve">Who may apply</w:t>
      </w:r>
    </w:p>
    <w:p>
      <w:pPr>
        <w:pStyle w:val="ListParagraph"/>
        <w:numPr>
          <w:ilvl w:val="0"/>
          <w:numId w:val="2"/>
        </w:numPr>
        <w:spacing w:after="90"/>
      </w:pPr>
      <w:r>
        <w:rPr>
          <w:sz w:val="21"/>
          <w:szCs w:val="21"/>
        </w:rPr>
        <w:t xml:space="preserve">Counties, cities, towns or villages. Municipalities only, not developers.</w:t>
      </w:r>
    </w:p>
    <w:p>
      <w:pPr>
        <w:pStyle w:val="ListParagraph"/>
        <w:numPr>
          <w:ilvl w:val="0"/>
          <w:numId w:val="2"/>
        </w:numPr>
        <w:spacing w:after="90"/>
      </w:pPr>
      <w:r>
        <w:rPr>
          <w:sz w:val="21"/>
          <w:szCs w:val="21"/>
        </w:rPr>
        <w:t xml:space="preserve">The municipality must be home to a fossil fuel power plant decommissioned within the last five years, currently being decommissioned, or with confirmed plans to retire and deactivate by a certain future date.</w:t>
      </w:r>
    </w:p>
    <w:p>
      <w:pPr>
        <w:pStyle w:val="ListParagraph"/>
        <w:numPr>
          <w:ilvl w:val="0"/>
          <w:numId w:val="2"/>
        </w:numPr>
        <w:spacing w:after="90"/>
      </w:pPr>
      <w:r>
        <w:rPr>
          <w:sz w:val="21"/>
          <w:szCs w:val="21"/>
        </w:rPr>
        <w:t xml:space="preserve">Municipalities home to other operating fossil fuel facilities that commenced operations before 1990 will also be considered.</w:t>
      </w:r>
    </w:p>
    <w:p>
      <w:pPr>
        <w:pStyle w:val="ListParagraph"/>
        <w:numPr>
          <w:ilvl w:val="0"/>
          <w:numId w:val="2"/>
        </w:numPr>
        <w:spacing w:after="90"/>
      </w:pPr>
      <w:r>
        <w:rPr>
          <w:sz w:val="21"/>
          <w:szCs w:val="21"/>
        </w:rPr>
        <w:t xml:space="preserve">Selected applicants sign a participation agreement and appoint a project liaison, then work with an assigned contractor.</w:t>
      </w:r>
    </w:p>
    <w:p>
      <w:pPr>
        <w:pStyle w:val="ListParagraph"/>
        <w:numPr>
          <w:ilvl w:val="0"/>
          <w:numId w:val="2"/>
        </w:numPr>
        <w:spacing w:after="90"/>
      </w:pPr>
      <w:r>
        <w:rPr>
          <w:sz w:val="21"/>
          <w:szCs w:val="21"/>
        </w:rPr>
        <w:t xml:space="preserve">The programme does not identify or influence plant closures. It responds to them.</w:t>
      </w:r>
    </w:p>
    <w:p>
      <w:pPr>
        <w:spacing w:after="140"/>
      </w:pPr>
      <w:r>
        <w:rPr>
          <w:sz w:val="21"/>
          <w:szCs w:val="21"/>
        </w:rPr>
        <w:t xml:space="preserve">A Statewide Site Reuse Toolkit is published, covering local, regional, state and federal programs for economic development and brownfield reuse. Data center reuse is not named among the illustrative reuse options on the site reuse page, which lists clean energy and commercial or mixed use development.</w:t>
      </w:r>
    </w:p>
    <w:p>
      <w:pPr>
        <w:spacing w:after="200" w:before="80"/>
      </w:pPr>
      <w:r>
        <w:rPr>
          <w:i/>
          <w:iCs/>
          <w:color w:val="666666"/>
          <w:sz w:val="17"/>
          <w:szCs w:val="17"/>
        </w:rPr>
        <w:t xml:space="preserve">Source: nyserda.ny.gov Just Transition Site Reuse Planning pages; governor.ny.gov programme announcement; PON 4563 summary.</w:t>
      </w:r>
    </w:p>
    <w:p>
      <w:pPr>
        <w:pStyle w:val="Heading2"/>
        <w:spacing w:after="120" w:before="280"/>
      </w:pPr>
      <w:r>
        <w:rPr>
          <w:b/>
          <w:bCs/>
          <w:color w:val="B02020"/>
          <w:sz w:val="24"/>
          <w:szCs w:val="24"/>
        </w:rPr>
        <w:t xml:space="preserve">8.3 Other live lines relevant at the margin</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2600"/>
        <w:gridCol w:w="6760"/>
      </w:tblGrid>
      <w:tr>
        <w:trPr>
          <w:tblHeader/>
        </w:trPr>
        <w:tc>
          <w:tcPr>
            <w:tcW w:type="dxa" w:w="2600"/>
            <w:shd w:fill="F2F2F2" w:color="auto" w:val="clear"/>
            <w:tcMar>
              <w:top w:type="dxa" w:w="80"/>
              <w:left w:type="dxa" w:w="110"/>
              <w:bottom w:type="dxa" w:w="80"/>
              <w:right w:type="dxa" w:w="110"/>
            </w:tcMar>
          </w:tcPr>
          <w:p>
            <w:r>
              <w:rPr>
                <w:b/>
                <w:bCs/>
                <w:sz w:val="18"/>
                <w:szCs w:val="18"/>
              </w:rPr>
              <w:t xml:space="preserve">Programme</w:t>
            </w:r>
          </w:p>
        </w:tc>
        <w:tc>
          <w:tcPr>
            <w:tcW w:type="dxa" w:w="6760"/>
            <w:shd w:fill="F2F2F2" w:color="auto" w:val="clear"/>
            <w:tcMar>
              <w:top w:type="dxa" w:w="80"/>
              <w:left w:type="dxa" w:w="110"/>
              <w:bottom w:type="dxa" w:w="80"/>
              <w:right w:type="dxa" w:w="110"/>
            </w:tcMar>
          </w:tcPr>
          <w:p>
            <w:r>
              <w:rPr>
                <w:b/>
                <w:bCs/>
                <w:sz w:val="18"/>
                <w:szCs w:val="18"/>
              </w:rPr>
              <w:t xml:space="preserve">Relevance</w:t>
            </w:r>
          </w:p>
        </w:tc>
      </w:tr>
      <w:tr>
        <w:trPr>
          <w:tblHeader w:val="false"/>
        </w:trPr>
        <w:tc>
          <w:tcPr>
            <w:tcW w:type="dxa" w:w="2600"/>
            <w:tcMar>
              <w:top w:type="dxa" w:w="80"/>
              <w:left w:type="dxa" w:w="110"/>
              <w:bottom w:type="dxa" w:w="80"/>
              <w:right w:type="dxa" w:w="110"/>
            </w:tcMar>
          </w:tcPr>
          <w:p>
            <w:r>
              <w:rPr>
                <w:sz w:val="18"/>
                <w:szCs w:val="18"/>
              </w:rPr>
              <w:t xml:space="preserve">Hospitals decarbonisation</w:t>
            </w:r>
          </w:p>
        </w:tc>
        <w:tc>
          <w:tcPr>
            <w:tcW w:type="dxa" w:w="6760"/>
            <w:tcMar>
              <w:top w:type="dxa" w:w="80"/>
              <w:left w:type="dxa" w:w="110"/>
              <w:bottom w:type="dxa" w:w="80"/>
              <w:right w:type="dxa" w:w="110"/>
            </w:tcMar>
          </w:tcPr>
          <w:p>
            <w:r>
              <w:rPr>
                <w:sz w:val="18"/>
                <w:szCs w:val="18"/>
              </w:rPr>
              <w:t xml:space="preserve">Over 20 million USD announced 9 April 2026 for energy efficiency and electrification upgrades at hospitals, for projects achieving innovative pathways to reduce energy use and emissions. Hospitals are a named anchor offtaker archetype in the thermal network definition</w:t>
            </w:r>
          </w:p>
        </w:tc>
      </w:tr>
      <w:tr>
        <w:trPr>
          <w:tblHeader w:val="false"/>
        </w:trPr>
        <w:tc>
          <w:tcPr>
            <w:tcW w:type="dxa" w:w="2600"/>
            <w:tcMar>
              <w:top w:type="dxa" w:w="80"/>
              <w:left w:type="dxa" w:w="110"/>
              <w:bottom w:type="dxa" w:w="80"/>
              <w:right w:type="dxa" w:w="110"/>
            </w:tcMar>
          </w:tcPr>
          <w:p>
            <w:r>
              <w:rPr>
                <w:sz w:val="18"/>
                <w:szCs w:val="18"/>
              </w:rPr>
              <w:t xml:space="preserve">Affordable multifamily</w:t>
            </w:r>
          </w:p>
        </w:tc>
        <w:tc>
          <w:tcPr>
            <w:tcW w:type="dxa" w:w="6760"/>
            <w:tcMar>
              <w:top w:type="dxa" w:w="80"/>
              <w:left w:type="dxa" w:w="110"/>
              <w:bottom w:type="dxa" w:w="80"/>
              <w:right w:type="dxa" w:w="110"/>
            </w:tcMar>
          </w:tcPr>
          <w:p>
            <w:r>
              <w:rPr>
                <w:sz w:val="18"/>
                <w:szCs w:val="18"/>
              </w:rPr>
              <w:t xml:space="preserve">Over 125 million USD announced 16 April 2026 for cost effective efficiency and electrification improvements in residential buildings</w:t>
            </w:r>
          </w:p>
        </w:tc>
      </w:tr>
      <w:tr>
        <w:trPr>
          <w:tblHeader w:val="false"/>
        </w:trPr>
        <w:tc>
          <w:tcPr>
            <w:tcW w:type="dxa" w:w="2600"/>
            <w:tcMar>
              <w:top w:type="dxa" w:w="80"/>
              <w:left w:type="dxa" w:w="110"/>
              <w:bottom w:type="dxa" w:w="80"/>
              <w:right w:type="dxa" w:w="110"/>
            </w:tcMar>
          </w:tcPr>
          <w:p>
            <w:r>
              <w:rPr>
                <w:sz w:val="18"/>
                <w:szCs w:val="18"/>
              </w:rPr>
              <w:t xml:space="preserve">Clean Energy Workforce</w:t>
            </w:r>
          </w:p>
        </w:tc>
        <w:tc>
          <w:tcPr>
            <w:tcW w:type="dxa" w:w="6760"/>
            <w:tcMar>
              <w:top w:type="dxa" w:w="80"/>
              <w:left w:type="dxa" w:w="110"/>
              <w:bottom w:type="dxa" w:w="80"/>
              <w:right w:type="dxa" w:w="110"/>
            </w:tcMar>
          </w:tcPr>
          <w:p>
            <w:r>
              <w:rPr>
                <w:sz w:val="18"/>
                <w:szCs w:val="18"/>
              </w:rPr>
              <w:t xml:space="preserve">50 million USD announced 2 April 2026 within a 320 million USD commitment, running through November 2027 and September 2030</w:t>
            </w:r>
          </w:p>
        </w:tc>
      </w:tr>
      <w:tr>
        <w:trPr>
          <w:tblHeader w:val="false"/>
        </w:trPr>
        <w:tc>
          <w:tcPr>
            <w:tcW w:type="dxa" w:w="2600"/>
            <w:tcMar>
              <w:top w:type="dxa" w:w="80"/>
              <w:left w:type="dxa" w:w="110"/>
              <w:bottom w:type="dxa" w:w="80"/>
              <w:right w:type="dxa" w:w="110"/>
            </w:tcMar>
          </w:tcPr>
          <w:p>
            <w:r>
              <w:rPr>
                <w:sz w:val="18"/>
                <w:szCs w:val="18"/>
              </w:rPr>
              <w:t xml:space="preserve">NY Green Bank</w:t>
            </w:r>
          </w:p>
        </w:tc>
        <w:tc>
          <w:tcPr>
            <w:tcW w:type="dxa" w:w="6760"/>
            <w:tcMar>
              <w:top w:type="dxa" w:w="80"/>
              <w:left w:type="dxa" w:w="110"/>
              <w:bottom w:type="dxa" w:w="80"/>
              <w:right w:type="dxa" w:w="110"/>
            </w:tcMar>
          </w:tcPr>
          <w:p>
            <w:r>
              <w:rPr>
                <w:sz w:val="18"/>
                <w:szCs w:val="18"/>
              </w:rPr>
              <w:t xml:space="preserve">Capital rather than grant. Relevant at project finance scale, not pilot scale</w:t>
            </w:r>
          </w:p>
        </w:tc>
      </w:tr>
      <w:tr>
        <w:trPr>
          <w:tblHeader w:val="false"/>
        </w:trPr>
        <w:tc>
          <w:tcPr>
            <w:tcW w:type="dxa" w:w="2600"/>
            <w:tcMar>
              <w:top w:type="dxa" w:w="80"/>
              <w:left w:type="dxa" w:w="110"/>
              <w:bottom w:type="dxa" w:w="80"/>
              <w:right w:type="dxa" w:w="110"/>
            </w:tcMar>
          </w:tcPr>
          <w:p>
            <w:r>
              <w:rPr>
                <w:sz w:val="18"/>
                <w:szCs w:val="18"/>
              </w:rPr>
              <w:t xml:space="preserve">Clean Green Campus</w:t>
            </w:r>
          </w:p>
        </w:tc>
        <w:tc>
          <w:tcPr>
            <w:tcW w:type="dxa" w:w="6760"/>
            <w:tcMar>
              <w:top w:type="dxa" w:w="80"/>
              <w:left w:type="dxa" w:w="110"/>
              <w:bottom w:type="dxa" w:w="80"/>
              <w:right w:type="dxa" w:w="110"/>
            </w:tcMar>
          </w:tcPr>
          <w:p>
            <w:r>
              <w:rPr>
                <w:sz w:val="18"/>
                <w:szCs w:val="18"/>
              </w:rPr>
              <w:t xml:space="preserve">Membership is a precondition for any FlexTech cost share for colleges and universities. Relevant to a university host site</w:t>
            </w:r>
          </w:p>
        </w:tc>
      </w:tr>
      <w:tr>
        <w:trPr>
          <w:tblHeader w:val="false"/>
        </w:trPr>
        <w:tc>
          <w:tcPr>
            <w:tcW w:type="dxa" w:w="2600"/>
            <w:tcMar>
              <w:top w:type="dxa" w:w="80"/>
              <w:left w:type="dxa" w:w="110"/>
              <w:bottom w:type="dxa" w:w="80"/>
              <w:right w:type="dxa" w:w="110"/>
            </w:tcMar>
          </w:tcPr>
          <w:p>
            <w:r>
              <w:rPr>
                <w:sz w:val="18"/>
                <w:szCs w:val="18"/>
              </w:rPr>
              <w:t xml:space="preserve">Large-Scale Renewables, RESRFP26-1</w:t>
            </w:r>
          </w:p>
        </w:tc>
        <w:tc>
          <w:tcPr>
            <w:tcW w:type="dxa" w:w="6760"/>
            <w:tcMar>
              <w:top w:type="dxa" w:w="80"/>
              <w:left w:type="dxa" w:w="110"/>
              <w:bottom w:type="dxa" w:w="80"/>
              <w:right w:type="dxa" w:w="110"/>
            </w:tcMar>
          </w:tcPr>
          <w:p>
            <w:r>
              <w:rPr>
                <w:sz w:val="18"/>
                <w:szCs w:val="18"/>
              </w:rPr>
              <w:t xml:space="preserve">Tenth annual Renewable Energy Standard request for proposals, issued 24 April 2026, procuring Tier 1 renewable energy certificates from mature projects. Price components were due 30 July 2026 with awards expected September 2026</w:t>
            </w:r>
          </w:p>
        </w:tc>
      </w:tr>
      <w:tr>
        <w:trPr>
          <w:tblHeader w:val="false"/>
        </w:trPr>
        <w:tc>
          <w:tcPr>
            <w:tcW w:type="dxa" w:w="2600"/>
            <w:tcMar>
              <w:top w:type="dxa" w:w="80"/>
              <w:left w:type="dxa" w:w="110"/>
              <w:bottom w:type="dxa" w:w="80"/>
              <w:right w:type="dxa" w:w="110"/>
            </w:tcMar>
          </w:tcPr>
          <w:p>
            <w:r>
              <w:rPr>
                <w:sz w:val="18"/>
                <w:szCs w:val="18"/>
              </w:rPr>
              <w:t xml:space="preserve">On-site Energy Manager</w:t>
            </w:r>
          </w:p>
        </w:tc>
        <w:tc>
          <w:tcPr>
            <w:tcW w:type="dxa" w:w="6760"/>
            <w:tcMar>
              <w:top w:type="dxa" w:w="80"/>
              <w:left w:type="dxa" w:w="110"/>
              <w:bottom w:type="dxa" w:w="80"/>
              <w:right w:type="dxa" w:w="110"/>
            </w:tcMar>
          </w:tcPr>
          <w:p>
            <w:r>
              <w:rPr>
                <w:sz w:val="18"/>
                <w:szCs w:val="18"/>
              </w:rPr>
              <w:t xml:space="preserve">Cost share to hire a dedicated on site energy manager for industrial, commercial, institutional or multifamily facilities</w:t>
            </w:r>
          </w:p>
        </w:tc>
      </w:tr>
    </w:tbl>
    <w:p>
      <w:pPr>
        <w:spacing w:after="200" w:before="80"/>
      </w:pPr>
      <w:r>
        <w:rPr>
          <w:i/>
          <w:iCs/>
          <w:color w:val="666666"/>
          <w:sz w:val="17"/>
          <w:szCs w:val="17"/>
        </w:rPr>
        <w:t xml:space="preserve">Source: nyserda.ny.gov 2026 announcements and programme pages; Large-Scale Renewables solicitation page.</w:t>
      </w:r>
    </w:p>
    <w:p>
      <w:r>
        <w:br w:type="page"/>
      </w:r>
    </w:p>
    <w:p>
      <w:pPr>
        <w:pStyle w:val="Heading1"/>
        <w:spacing w:after="160" w:before="380"/>
      </w:pPr>
      <w:r>
        <w:rPr>
          <w:b/>
          <w:bCs/>
          <w:color w:val="222222"/>
          <w:sz w:val="30"/>
          <w:szCs w:val="30"/>
        </w:rPr>
        <w:t xml:space="preserve">9. Mapped against the MicroLink pipeline</w:t>
      </w:r>
    </w:p>
    <w:p>
      <w:pPr>
        <w:spacing w:after="140"/>
      </w:pPr>
      <w:r>
        <w:rPr>
          <w:sz w:val="21"/>
          <w:szCs w:val="21"/>
        </w:rPr>
        <w:t xml:space="preserve">Each workstream against what the estate actually offers it, and what it does not. Descriptive only.</w:t>
      </w:r>
    </w:p>
    <w:p>
      <w:pPr>
        <w:pStyle w:val="Heading2"/>
        <w:spacing w:after="120" w:before="280"/>
      </w:pPr>
      <w:r>
        <w:rPr>
          <w:b/>
          <w:bCs/>
          <w:color w:val="B02020"/>
          <w:sz w:val="24"/>
          <w:szCs w:val="24"/>
        </w:rPr>
        <w:t xml:space="preserve">9.1 K-12 schools pilot, with the NYSERDA schools team</w:t>
      </w:r>
    </w:p>
    <w:p>
      <w:pPr>
        <w:spacing w:after="140"/>
      </w:pPr>
      <w:r>
        <w:rPr>
          <w:sz w:val="21"/>
          <w:szCs w:val="21"/>
        </w:rPr>
        <w:t xml:space="preserve">Units in the 30 to 35 kW class in K-12 schools, with battery, solar, connectivity and an optional benefits menu, jointly with Akila. Five school sites in the proposal as drawn, inside a wider distributed architecture.</w:t>
      </w:r>
    </w:p>
    <w:p>
      <w:pPr>
        <w:spacing w:after="80" w:before="160"/>
      </w:pPr>
      <w:r>
        <w:rPr>
          <w:b/>
          <w:bCs/>
          <w:sz w:val="21"/>
          <w:szCs w:val="21"/>
        </w:rPr>
        <w:t xml:space="preserve">What applies</w:t>
      </w:r>
    </w:p>
    <w:p>
      <w:pPr>
        <w:pStyle w:val="ListParagraph"/>
        <w:numPr>
          <w:ilvl w:val="0"/>
          <w:numId w:val="2"/>
        </w:numPr>
        <w:spacing w:after="90"/>
      </w:pPr>
      <w:r>
        <w:rPr>
          <w:sz w:val="21"/>
          <w:szCs w:val="21"/>
        </w:rPr>
        <w:t xml:space="preserve">Clean Green Schools, open to 18 August 2026, incentives from 500,000 USD. Applicant is the district. Eligible project types are retrofits reducing consumption, electrification readiness, and conversion of central heating or cooling plant to clean technologies such as heat pumps. The scored criteria include student engagement and expanded community use of the school, which is where the curriculum, connectivity and food elements attach.</w:t>
      </w:r>
    </w:p>
    <w:p>
      <w:pPr>
        <w:pStyle w:val="ListParagraph"/>
        <w:numPr>
          <w:ilvl w:val="0"/>
          <w:numId w:val="2"/>
        </w:numPr>
        <w:spacing w:after="90"/>
      </w:pPr>
      <w:r>
        <w:rPr>
          <w:sz w:val="21"/>
          <w:szCs w:val="21"/>
        </w:rPr>
        <w:t xml:space="preserve">Priority District status or disadvantaged community location decides eligibility. Site selection is therefore constrained by designation, not just by thermal fit.</w:t>
      </w:r>
    </w:p>
    <w:p>
      <w:pPr>
        <w:pStyle w:val="ListParagraph"/>
        <w:numPr>
          <w:ilvl w:val="0"/>
          <w:numId w:val="2"/>
        </w:numPr>
        <w:spacing w:after="90"/>
      </w:pPr>
      <w:r>
        <w:rPr>
          <w:sz w:val="21"/>
          <w:szCs w:val="21"/>
        </w:rPr>
        <w:t xml:space="preserve">System Benefits Charge contribution is not required for this programme, unlike most of the estate.</w:t>
      </w:r>
    </w:p>
    <w:p>
      <w:pPr>
        <w:pStyle w:val="ListParagraph"/>
        <w:numPr>
          <w:ilvl w:val="0"/>
          <w:numId w:val="2"/>
        </w:numPr>
        <w:spacing w:after="90"/>
      </w:pPr>
      <w:r>
        <w:rPr>
          <w:sz w:val="21"/>
          <w:szCs w:val="21"/>
        </w:rPr>
        <w:t xml:space="preserve">Building Aid is not reduced for districts taking a Clean Green Schools grant.</w:t>
      </w:r>
    </w:p>
    <w:p>
      <w:pPr>
        <w:pStyle w:val="ListParagraph"/>
        <w:numPr>
          <w:ilvl w:val="0"/>
          <w:numId w:val="2"/>
        </w:numPr>
        <w:spacing w:after="90"/>
      </w:pPr>
      <w:r>
        <w:rPr>
          <w:sz w:val="21"/>
          <w:szCs w:val="21"/>
        </w:rPr>
        <w:t xml:space="preserve">FlexTech at 50 to 100 per cent covers schools that are ineligible for Clean Green Schools, so the two are complementary across a portfolio rather than duplicative.</w:t>
      </w:r>
    </w:p>
    <w:p>
      <w:pPr>
        <w:spacing w:after="80" w:before="160"/>
      </w:pPr>
      <w:r>
        <w:rPr>
          <w:b/>
          <w:bCs/>
          <w:sz w:val="21"/>
          <w:szCs w:val="21"/>
        </w:rPr>
        <w:t xml:space="preserve">Constraints to hold</w:t>
      </w:r>
    </w:p>
    <w:p>
      <w:pPr>
        <w:pStyle w:val="ListParagraph"/>
        <w:numPr>
          <w:ilvl w:val="0"/>
          <w:numId w:val="2"/>
        </w:numPr>
        <w:spacing w:after="90"/>
      </w:pPr>
      <w:r>
        <w:rPr>
          <w:sz w:val="21"/>
          <w:szCs w:val="21"/>
        </w:rPr>
        <w:t xml:space="preserve">At 30 to 35 kW a unit sits far below every threshold in the data center legislation, including the 1 MW statutory definition. That is a positioning asset and should be stated as such.</w:t>
      </w:r>
    </w:p>
    <w:p>
      <w:pPr>
        <w:pStyle w:val="ListParagraph"/>
        <w:numPr>
          <w:ilvl w:val="0"/>
          <w:numId w:val="2"/>
        </w:numPr>
        <w:spacing w:after="90"/>
      </w:pPr>
      <w:r>
        <w:rPr>
          <w:sz w:val="21"/>
          <w:szCs w:val="21"/>
        </w:rPr>
        <w:t xml:space="preserve">Non stackability. If a school measure is funded under Clean Green Schools, the same measure cannot draw a second Clean Energy Fund or utility incentive.</w:t>
      </w:r>
    </w:p>
    <w:p>
      <w:pPr>
        <w:pStyle w:val="ListParagraph"/>
        <w:numPr>
          <w:ilvl w:val="0"/>
          <w:numId w:val="2"/>
        </w:numPr>
        <w:spacing w:after="90"/>
      </w:pPr>
      <w:r>
        <w:rPr>
          <w:sz w:val="21"/>
          <w:szCs w:val="21"/>
        </w:rPr>
        <w:t xml:space="preserve">Commercial framing follows canon: participation, not the term revenue share. Schools taking participation in kind is a structure the community use criterion can accommodate.</w:t>
      </w:r>
    </w:p>
    <w:p>
      <w:pPr>
        <w:pStyle w:val="Heading2"/>
        <w:spacing w:after="120" w:before="280"/>
      </w:pPr>
      <w:r>
        <w:rPr>
          <w:b/>
          <w:bCs/>
          <w:color w:val="B02020"/>
          <w:sz w:val="24"/>
          <w:szCs w:val="24"/>
        </w:rPr>
        <w:t xml:space="preserve">9.2 Distributed data center pilot, with the innovation centre department</w:t>
      </w:r>
    </w:p>
    <w:p>
      <w:pPr>
        <w:spacing w:after="140"/>
      </w:pPr>
      <w:r>
        <w:rPr>
          <w:sz w:val="21"/>
          <w:szCs w:val="21"/>
        </w:rPr>
        <w:t xml:space="preserve">Five units plus a 1.25 MW pod in a 12 m (40 ft) container, and the building of an integration workshop that transitions into MicroLink’s R&amp;D Center.</w:t>
      </w:r>
    </w:p>
    <w:p>
      <w:pPr>
        <w:spacing w:after="80" w:before="160"/>
      </w:pPr>
      <w:r>
        <w:rPr>
          <w:b/>
          <w:bCs/>
          <w:sz w:val="21"/>
          <w:szCs w:val="21"/>
        </w:rPr>
        <w:t xml:space="preserve">What applies</w:t>
      </w:r>
    </w:p>
    <w:p>
      <w:pPr>
        <w:pStyle w:val="ListParagraph"/>
        <w:numPr>
          <w:ilvl w:val="0"/>
          <w:numId w:val="2"/>
        </w:numPr>
        <w:spacing w:after="90"/>
      </w:pPr>
      <w:r>
        <w:rPr>
          <w:sz w:val="21"/>
          <w:szCs w:val="21"/>
        </w:rPr>
        <w:t xml:space="preserve">Innovation and Research is the correct arm, funded through 2030 by the Public Service Commission 2025 Innovation and Research Order at over 96 million USD a year.</w:t>
      </w:r>
    </w:p>
    <w:p>
      <w:pPr>
        <w:pStyle w:val="ListParagraph"/>
        <w:numPr>
          <w:ilvl w:val="0"/>
          <w:numId w:val="2"/>
        </w:numPr>
        <w:spacing w:after="90"/>
      </w:pPr>
      <w:r>
        <w:rPr>
          <w:sz w:val="21"/>
          <w:szCs w:val="21"/>
        </w:rPr>
        <w:t xml:space="preserve">The buildings innovation line, most recently Innovation for Affordable Building Electrification at 15 million USD, closed 23 July 2026 and runs annually. Its scope, controlling energy use and increasing load flexibility in existing buildings, is the closest published fit.</w:t>
      </w:r>
    </w:p>
    <w:p>
      <w:pPr>
        <w:pStyle w:val="ListParagraph"/>
        <w:numPr>
          <w:ilvl w:val="0"/>
          <w:numId w:val="2"/>
        </w:numPr>
        <w:spacing w:after="90"/>
      </w:pPr>
      <w:r>
        <w:rPr>
          <w:sz w:val="21"/>
          <w:szCs w:val="21"/>
        </w:rPr>
        <w:t xml:space="preserve">Grid Enhancing Technologies, 24 million USD, open on a two step concept paper process, with team composition language that expressly contemplates end users and investors alongside manufacturers.</w:t>
      </w:r>
    </w:p>
    <w:p>
      <w:pPr>
        <w:pStyle w:val="ListParagraph"/>
        <w:numPr>
          <w:ilvl w:val="0"/>
          <w:numId w:val="2"/>
        </w:numPr>
        <w:spacing w:after="90"/>
      </w:pPr>
      <w:r>
        <w:rPr>
          <w:sz w:val="21"/>
          <w:szCs w:val="21"/>
        </w:rPr>
        <w:t xml:space="preserve">At 1.25 MW the pod is above the 1 MW statutory definition of a data center and below both the 5 MW Article 19 floor and the 20 MW moratorium threshold. The architecture keeps the dry cooler path visible, which is what allows the thermal claim and the reject path to be assessed separately.</w:t>
      </w:r>
    </w:p>
    <w:p>
      <w:pPr>
        <w:spacing w:after="80" w:before="160"/>
      </w:pPr>
      <w:r>
        <w:rPr>
          <w:b/>
          <w:bCs/>
          <w:sz w:val="21"/>
          <w:szCs w:val="21"/>
        </w:rPr>
        <w:t xml:space="preserve">Constraints to hold</w:t>
      </w:r>
    </w:p>
    <w:p>
      <w:pPr>
        <w:pStyle w:val="ListParagraph"/>
        <w:numPr>
          <w:ilvl w:val="0"/>
          <w:numId w:val="2"/>
        </w:numPr>
        <w:spacing w:after="90"/>
      </w:pPr>
      <w:r>
        <w:rPr>
          <w:sz w:val="21"/>
          <w:szCs w:val="21"/>
        </w:rPr>
        <w:t xml:space="preserve">Demonstration programmes across the estate exclude projects already underway. Sequencing a funding application after construction starts forfeits eligibility.</w:t>
      </w:r>
    </w:p>
    <w:p>
      <w:pPr>
        <w:pStyle w:val="ListParagraph"/>
        <w:numPr>
          <w:ilvl w:val="0"/>
          <w:numId w:val="2"/>
        </w:numPr>
        <w:spacing w:after="90"/>
      </w:pPr>
      <w:r>
        <w:rPr>
          <w:sz w:val="21"/>
          <w:szCs w:val="21"/>
        </w:rPr>
        <w:t xml:space="preserve">The recurring cost share floor on innovation solicitations is 50 per cent from non NYSERDA sources.</w:t>
      </w:r>
    </w:p>
    <w:p>
      <w:pPr>
        <w:pStyle w:val="Heading2"/>
        <w:spacing w:after="120" w:before="280"/>
      </w:pPr>
      <w:r>
        <w:rPr>
          <w:b/>
          <w:bCs/>
          <w:color w:val="B02020"/>
          <w:sz w:val="24"/>
          <w:szCs w:val="24"/>
        </w:rPr>
        <w:t xml:space="preserve">9.3 Newtown Creek pod</w:t>
      </w:r>
    </w:p>
    <w:p>
      <w:pPr>
        <w:spacing w:after="140"/>
      </w:pPr>
      <w:r>
        <w:rPr>
          <w:sz w:val="21"/>
          <w:szCs w:val="21"/>
        </w:rPr>
        <w:t xml:space="preserve">A 1.25 MW pod at a wastewater treatment plant, MicroLink funded, with the relationship still being sought rather than secured.</w:t>
      </w:r>
    </w:p>
    <w:p>
      <w:pPr>
        <w:spacing w:after="80" w:before="160"/>
      </w:pPr>
      <w:r>
        <w:rPr>
          <w:b/>
          <w:bCs/>
          <w:sz w:val="21"/>
          <w:szCs w:val="21"/>
        </w:rPr>
        <w:t xml:space="preserve">What applies</w:t>
      </w:r>
    </w:p>
    <w:p>
      <w:pPr>
        <w:pStyle w:val="ListParagraph"/>
        <w:numPr>
          <w:ilvl w:val="0"/>
          <w:numId w:val="2"/>
        </w:numPr>
        <w:spacing w:after="90"/>
      </w:pPr>
      <w:r>
        <w:rPr>
          <w:sz w:val="21"/>
          <w:szCs w:val="21"/>
        </w:rPr>
        <w:t xml:space="preserve">Wastewater is a named eligible thermal resource under Large-Scale Thermal, and wastewater heat recovery is a named measure in the heat recovery phased decarbonisation sequence.</w:t>
      </w:r>
    </w:p>
    <w:p>
      <w:pPr>
        <w:pStyle w:val="ListParagraph"/>
        <w:numPr>
          <w:ilvl w:val="0"/>
          <w:numId w:val="2"/>
        </w:numPr>
        <w:spacing w:after="90"/>
      </w:pPr>
      <w:r>
        <w:rPr>
          <w:sz w:val="21"/>
          <w:szCs w:val="21"/>
        </w:rPr>
        <w:t xml:space="preserve">The thermal energy network definition contemplates municipal water or sewer managers as a target audience, and the Clean Energy Communities route treats thermal energy networks as a High Impact Action for municipalities.</w:t>
      </w:r>
    </w:p>
    <w:p>
      <w:pPr>
        <w:pStyle w:val="ListParagraph"/>
        <w:numPr>
          <w:ilvl w:val="0"/>
          <w:numId w:val="2"/>
        </w:numPr>
        <w:spacing w:after="90"/>
      </w:pPr>
      <w:r>
        <w:rPr>
          <w:sz w:val="21"/>
          <w:szCs w:val="21"/>
        </w:rPr>
        <w:t xml:space="preserve">FlexTech funds the feasibility study, PON 5614 the design.</w:t>
      </w:r>
    </w:p>
    <w:p>
      <w:pPr>
        <w:spacing w:after="80" w:before="160"/>
      </w:pPr>
      <w:r>
        <w:rPr>
          <w:b/>
          <w:bCs/>
          <w:sz w:val="21"/>
          <w:szCs w:val="21"/>
        </w:rPr>
        <w:t xml:space="preserve">Constraints to hold</w:t>
      </w:r>
    </w:p>
    <w:p>
      <w:pPr>
        <w:pStyle w:val="ListParagraph"/>
        <w:numPr>
          <w:ilvl w:val="0"/>
          <w:numId w:val="2"/>
        </w:numPr>
        <w:spacing w:after="90"/>
      </w:pPr>
      <w:r>
        <w:rPr>
          <w:sz w:val="21"/>
          <w:szCs w:val="21"/>
        </w:rPr>
        <w:t xml:space="preserve">Any public claim about a named treatment plant is subject to the MWRD position on the Stickney matter. The Newtown Creek relationship is being sought, not secured, and page copy is already worded conditionally. Nothing in this note changes that.</w:t>
      </w:r>
    </w:p>
    <w:p>
      <w:pPr>
        <w:pStyle w:val="ListParagraph"/>
        <w:numPr>
          <w:ilvl w:val="0"/>
          <w:numId w:val="2"/>
        </w:numPr>
        <w:spacing w:after="90"/>
      </w:pPr>
      <w:r>
        <w:rPr>
          <w:sz w:val="21"/>
          <w:szCs w:val="21"/>
        </w:rPr>
        <w:t xml:space="preserve">The host community water and wastewater provisions in the Act cut both ways. New large data centers must fund measures addressing wastewater strain. A facility that reduces a treatment plant’s purchased energy is arguing the opposite direction and needs the metering to prove it.</w:t>
      </w:r>
    </w:p>
    <w:p>
      <w:pPr>
        <w:pStyle w:val="Heading2"/>
        <w:spacing w:after="120" w:before="280"/>
      </w:pPr>
      <w:r>
        <w:rPr>
          <w:b/>
          <w:bCs/>
          <w:color w:val="B02020"/>
          <w:sz w:val="24"/>
          <w:szCs w:val="24"/>
        </w:rPr>
        <w:t xml:space="preserve">9.4 The three New York data center applications</w:t>
      </w:r>
    </w:p>
    <w:p>
      <w:pPr>
        <w:spacing w:after="80" w:before="160"/>
      </w:pPr>
      <w:r>
        <w:rPr>
          <w:b/>
          <w:bCs/>
          <w:sz w:val="21"/>
          <w:szCs w:val="21"/>
        </w:rPr>
        <w:t xml:space="preserve">What applies</w:t>
      </w:r>
    </w:p>
    <w:p>
      <w:pPr>
        <w:pStyle w:val="ListParagraph"/>
        <w:numPr>
          <w:ilvl w:val="0"/>
          <w:numId w:val="2"/>
        </w:numPr>
        <w:spacing w:after="90"/>
      </w:pPr>
      <w:r>
        <w:rPr>
          <w:sz w:val="21"/>
          <w:szCs w:val="21"/>
        </w:rPr>
        <w:t xml:space="preserve">Nothing in the NYSERDA grant estate funds a data center as such. The relevant instruments are regulatory, not financial: Case 26-E-0045 on interconnection reform for large loads, the Public Service Commission host community benefits proceeding, and the Article 19 efficiency goals.</w:t>
      </w:r>
    </w:p>
    <w:p>
      <w:pPr>
        <w:pStyle w:val="ListParagraph"/>
        <w:numPr>
          <w:ilvl w:val="0"/>
          <w:numId w:val="2"/>
        </w:numPr>
        <w:spacing w:after="90"/>
      </w:pPr>
      <w:r>
        <w:rPr>
          <w:sz w:val="21"/>
          <w:szCs w:val="21"/>
        </w:rPr>
        <w:t xml:space="preserve">The efficiency goals must include a focus on waste heat recovery and reuse, and NYSERDA is a named goal setter. Participation in goal setting is a different kind of access from applying for a grant.</w:t>
      </w:r>
    </w:p>
    <w:p>
      <w:pPr>
        <w:spacing w:after="80" w:before="160"/>
      </w:pPr>
      <w:r>
        <w:rPr>
          <w:b/>
          <w:bCs/>
          <w:sz w:val="21"/>
          <w:szCs w:val="21"/>
        </w:rPr>
        <w:t xml:space="preserve">Constraints to hold</w:t>
      </w:r>
    </w:p>
    <w:p>
      <w:pPr>
        <w:pStyle w:val="ListParagraph"/>
        <w:numPr>
          <w:ilvl w:val="0"/>
          <w:numId w:val="2"/>
        </w:numPr>
        <w:spacing w:after="90"/>
      </w:pPr>
      <w:r>
        <w:rPr>
          <w:sz w:val="21"/>
          <w:szCs w:val="21"/>
        </w:rPr>
        <w:t xml:space="preserve">If the Act is signed, a one year moratorium on certain state permits attaches at 20 MW peak demand. Applications at or above that threshold face a pause; the moratorium does not apply to modification, renewal, reissuance or recertification of prior approvals.</w:t>
      </w:r>
    </w:p>
    <w:p>
      <w:pPr>
        <w:pStyle w:val="ListParagraph"/>
        <w:numPr>
          <w:ilvl w:val="0"/>
          <w:numId w:val="2"/>
        </w:numPr>
        <w:spacing w:after="90"/>
      </w:pPr>
      <w:r>
        <w:rPr>
          <w:sz w:val="21"/>
          <w:szCs w:val="21"/>
        </w:rPr>
        <w:t xml:space="preserve">Article 19 attaches at 5 MW, with third party verification, prevailing wage, apprenticeship and domestic iron and steel requirements.</w:t>
      </w:r>
    </w:p>
    <w:p>
      <w:pPr>
        <w:pStyle w:val="ListParagraph"/>
        <w:numPr>
          <w:ilvl w:val="0"/>
          <w:numId w:val="2"/>
        </w:numPr>
        <w:spacing w:after="90"/>
      </w:pPr>
      <w:r>
        <w:rPr>
          <w:sz w:val="21"/>
          <w:szCs w:val="21"/>
        </w:rPr>
        <w:t xml:space="preserve">The public research institution exclusion is narrow and specific: majority owned, operated or controlled by a public research institution and used for research purposes. A university host relationship does not by itself meet it.</w:t>
      </w:r>
    </w:p>
    <w:p>
      <w:pPr>
        <w:pStyle w:val="Heading2"/>
        <w:spacing w:after="120" w:before="280"/>
      </w:pPr>
      <w:r>
        <w:rPr>
          <w:b/>
          <w:bCs/>
          <w:color w:val="B02020"/>
          <w:sz w:val="24"/>
          <w:szCs w:val="24"/>
        </w:rPr>
        <w:t xml:space="preserve">9.5 Waste to energy facility upgrade</w:t>
      </w:r>
    </w:p>
    <w:p>
      <w:pPr>
        <w:spacing w:after="80" w:before="160"/>
      </w:pPr>
      <w:r>
        <w:rPr>
          <w:b/>
          <w:bCs/>
          <w:sz w:val="21"/>
          <w:szCs w:val="21"/>
        </w:rPr>
        <w:t xml:space="preserve">What applies</w:t>
      </w:r>
    </w:p>
    <w:p>
      <w:pPr>
        <w:pStyle w:val="ListParagraph"/>
        <w:numPr>
          <w:ilvl w:val="0"/>
          <w:numId w:val="2"/>
        </w:numPr>
        <w:spacing w:after="90"/>
      </w:pPr>
      <w:r>
        <w:rPr>
          <w:sz w:val="21"/>
          <w:szCs w:val="21"/>
        </w:rPr>
        <w:t xml:space="preserve">The Advanced Fuels Innovation area holds 37.5 million USD across FY2024 to FY2029 and is focused on fuel production from waste resources generated in New York State.</w:t>
      </w:r>
    </w:p>
    <w:p>
      <w:pPr>
        <w:pStyle w:val="ListParagraph"/>
        <w:numPr>
          <w:ilvl w:val="0"/>
          <w:numId w:val="2"/>
        </w:numPr>
        <w:spacing w:after="90"/>
      </w:pPr>
      <w:r>
        <w:rPr>
          <w:sz w:val="21"/>
          <w:szCs w:val="21"/>
        </w:rPr>
        <w:t xml:space="preserve">The open 8 million USD alternative fuels solicitation covers large scale alternative fuel based resources including multi megawatt fuel cells, with an optional letter of intent by 7 September 2026 and proposals due 28 September 2026.</w:t>
      </w:r>
    </w:p>
    <w:p>
      <w:pPr>
        <w:pStyle w:val="ListParagraph"/>
        <w:numPr>
          <w:ilvl w:val="0"/>
          <w:numId w:val="2"/>
        </w:numPr>
        <w:spacing w:after="90"/>
      </w:pPr>
      <w:r>
        <w:rPr>
          <w:sz w:val="21"/>
          <w:szCs w:val="21"/>
        </w:rPr>
        <w:t xml:space="preserve">NYSERDA report 25-20 names electricity as a waste utilisation pathway its comparative analysis could extend to, which is an opening for a compute load argument rather than a funded line.</w:t>
      </w:r>
    </w:p>
    <w:p>
      <w:pPr>
        <w:spacing w:after="80" w:before="160"/>
      </w:pPr>
      <w:r>
        <w:rPr>
          <w:b/>
          <w:bCs/>
          <w:sz w:val="21"/>
          <w:szCs w:val="21"/>
        </w:rPr>
        <w:t xml:space="preserve">Constraints to hold</w:t>
      </w:r>
    </w:p>
    <w:p>
      <w:pPr>
        <w:pStyle w:val="ListParagraph"/>
        <w:numPr>
          <w:ilvl w:val="0"/>
          <w:numId w:val="2"/>
        </w:numPr>
        <w:spacing w:after="90"/>
      </w:pPr>
      <w:r>
        <w:rPr>
          <w:sz w:val="21"/>
          <w:szCs w:val="21"/>
        </w:rPr>
        <w:t xml:space="preserve">The closed waste to fuels round excluded biogas, ammonia and hydrogen as eligible fuels and required a four party team with letters of commitment from host site, feedstock and end user partners plus an engineering, procurement and construction firm.</w:t>
      </w:r>
    </w:p>
    <w:p>
      <w:pPr>
        <w:pStyle w:val="ListParagraph"/>
        <w:numPr>
          <w:ilvl w:val="0"/>
          <w:numId w:val="2"/>
        </w:numPr>
        <w:spacing w:after="90"/>
      </w:pPr>
      <w:r>
        <w:rPr>
          <w:sz w:val="21"/>
          <w:szCs w:val="21"/>
        </w:rPr>
        <w:t xml:space="preserve">Taking electrons from an upgraded facility is a supply arrangement, not a fuels project. The fuels programme funds conversion technology, not offtake.</w:t>
      </w:r>
    </w:p>
    <w:p>
      <w:pPr>
        <w:pStyle w:val="Heading2"/>
        <w:spacing w:after="120" w:before="280"/>
      </w:pPr>
      <w:r>
        <w:rPr>
          <w:b/>
          <w:bCs/>
          <w:color w:val="B02020"/>
          <w:sz w:val="24"/>
          <w:szCs w:val="24"/>
        </w:rPr>
        <w:t xml:space="preserve">9.6 Massena</w:t>
      </w:r>
    </w:p>
    <w:p>
      <w:pPr>
        <w:spacing w:after="80" w:before="160"/>
      </w:pPr>
      <w:r>
        <w:rPr>
          <w:b/>
          <w:bCs/>
          <w:sz w:val="21"/>
          <w:szCs w:val="21"/>
        </w:rPr>
        <w:t xml:space="preserve">What applies</w:t>
      </w:r>
    </w:p>
    <w:p>
      <w:pPr>
        <w:pStyle w:val="ListParagraph"/>
        <w:numPr>
          <w:ilvl w:val="0"/>
          <w:numId w:val="2"/>
        </w:numPr>
        <w:spacing w:after="90"/>
      </w:pPr>
      <w:r>
        <w:rPr>
          <w:sz w:val="21"/>
          <w:szCs w:val="21"/>
        </w:rPr>
        <w:t xml:space="preserve">Just Transition Site Reuse Planning is the natural fit for a hard site, at 100 per cent of planning cost with no applicant cost share, but the applicant must be a county, city, town or village, and the site must involve a fossil fuel plant retired within five years, being decommissioned, with confirmed retirement plans, or operating since before 1990.</w:t>
      </w:r>
    </w:p>
    <w:p>
      <w:pPr>
        <w:pStyle w:val="ListParagraph"/>
        <w:numPr>
          <w:ilvl w:val="0"/>
          <w:numId w:val="2"/>
        </w:numPr>
        <w:spacing w:after="90"/>
      </w:pPr>
      <w:r>
        <w:rPr>
          <w:sz w:val="21"/>
          <w:szCs w:val="21"/>
        </w:rPr>
        <w:t xml:space="preserve">The illustrative reuse options published for that programme name clean energy and commercial or mixed use development. Data center reuse is not among them, so it would be a new argument rather than a listed one.</w:t>
      </w:r>
    </w:p>
    <w:p>
      <w:pPr>
        <w:pStyle w:val="ListParagraph"/>
        <w:numPr>
          <w:ilvl w:val="0"/>
          <w:numId w:val="2"/>
        </w:numPr>
        <w:spacing w:after="90"/>
      </w:pPr>
      <w:r>
        <w:rPr>
          <w:sz w:val="21"/>
          <w:szCs w:val="21"/>
        </w:rPr>
        <w:t xml:space="preserve">Regional Clean Energy Hubs and Clean Energy Communities provide the municipal engagement route.</w:t>
      </w:r>
    </w:p>
    <w:p>
      <w:pPr>
        <w:spacing w:after="80" w:before="160"/>
      </w:pPr>
      <w:r>
        <w:rPr>
          <w:b/>
          <w:bCs/>
          <w:sz w:val="21"/>
          <w:szCs w:val="21"/>
        </w:rPr>
        <w:t xml:space="preserve">Constraints to hold</w:t>
      </w:r>
    </w:p>
    <w:p>
      <w:pPr>
        <w:pStyle w:val="ListParagraph"/>
        <w:numPr>
          <w:ilvl w:val="0"/>
          <w:numId w:val="2"/>
        </w:numPr>
        <w:spacing w:after="90"/>
      </w:pPr>
      <w:r>
        <w:rPr>
          <w:sz w:val="21"/>
          <w:szCs w:val="21"/>
        </w:rPr>
        <w:t xml:space="preserve">The programme responds to plant closure. It does not fund a developer, and NYSERDA is explicit that it plays no role in identifying closures.</w:t>
      </w:r>
    </w:p>
    <w:p>
      <w:pPr>
        <w:pStyle w:val="Heading2"/>
        <w:spacing w:after="120" w:before="280"/>
      </w:pPr>
      <w:r>
        <w:rPr>
          <w:b/>
          <w:bCs/>
          <w:color w:val="B02020"/>
          <w:sz w:val="24"/>
          <w:szCs w:val="24"/>
        </w:rPr>
        <w:t xml:space="preserve">9.7 Integration workshop and R&amp;D Center</w:t>
      </w:r>
    </w:p>
    <w:p>
      <w:pPr>
        <w:spacing w:after="140"/>
      </w:pPr>
      <w:r>
        <w:rPr>
          <w:sz w:val="21"/>
          <w:szCs w:val="21"/>
        </w:rPr>
        <w:t xml:space="preserve">Location undecided between New York State, Pittsburgh and possibly Columbus, with Mansfield ruled out.</w:t>
      </w:r>
    </w:p>
    <w:p>
      <w:pPr>
        <w:pStyle w:val="ListParagraph"/>
        <w:numPr>
          <w:ilvl w:val="0"/>
          <w:numId w:val="2"/>
        </w:numPr>
        <w:spacing w:after="90"/>
      </w:pPr>
      <w:r>
        <w:rPr>
          <w:sz w:val="21"/>
          <w:szCs w:val="21"/>
        </w:rPr>
        <w:t xml:space="preserve">If sited in New York State, the Innovation and Research estate applies, including the Commercialization Program, the ClimateTech Expertise Network, and the Saratoga Technology and Energy Park. If sited in Pennsylvania or Ohio, none of the NYSERDA estate applies to it.</w:t>
      </w:r>
    </w:p>
    <w:p>
      <w:pPr>
        <w:pStyle w:val="ListParagraph"/>
        <w:numPr>
          <w:ilvl w:val="0"/>
          <w:numId w:val="2"/>
        </w:numPr>
        <w:spacing w:after="90"/>
      </w:pPr>
      <w:r>
        <w:rPr>
          <w:sz w:val="21"/>
          <w:szCs w:val="21"/>
        </w:rPr>
        <w:t xml:space="preserve">NYSERDA describes its innovation work as spanning research stage to scale, with a stated leverage ratio of 15 USD of additional investment for every 1 USD of NYSERDA funding, which is the frame a workshop proposal would be read against.</w:t>
      </w:r>
    </w:p>
    <w:p>
      <w:pPr>
        <w:pStyle w:val="Heading2"/>
        <w:spacing w:after="120" w:before="280"/>
      </w:pPr>
      <w:r>
        <w:rPr>
          <w:b/>
          <w:bCs/>
          <w:color w:val="B02020"/>
          <w:sz w:val="24"/>
          <w:szCs w:val="24"/>
        </w:rPr>
        <w:t xml:space="preserve">9.8 Out of NYSERDA reach</w:t>
      </w:r>
    </w:p>
    <w:p>
      <w:pPr>
        <w:spacing w:after="140"/>
      </w:pPr>
      <w:r>
        <w:rPr>
          <w:sz w:val="21"/>
          <w:szCs w:val="21"/>
        </w:rPr>
        <w:t xml:space="preserve">Mansfield in Ohio. Grays Ferry and the river site in Philadelphia. The Pennsylvania water neutral campus. Pittsburgh and Carnegie Mellon. None of these can draw on NYSERDA programmes. Where a Pennsylvania route is needed, the RISE PA line and the ESCO route already under assessment sit outside this note. The only decision this note touches is the integration workshop location, where a New York siting brings the innovation estate with it and a Pennsylvania or Ohio siting does not.</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10. Machinery</w:t>
      </w:r>
    </w:p>
    <w:p>
      <w:pPr>
        <w:pStyle w:val="Heading2"/>
        <w:spacing w:after="120" w:before="280"/>
      </w:pPr>
      <w:r>
        <w:rPr>
          <w:b/>
          <w:bCs/>
          <w:color w:val="B02020"/>
          <w:sz w:val="24"/>
          <w:szCs w:val="24"/>
        </w:rPr>
        <w:t xml:space="preserve">10.1 Solicitation instruments</w:t>
      </w:r>
    </w:p>
    <w:p>
      <w:pPr>
        <w:pStyle w:val="ListParagraph"/>
        <w:numPr>
          <w:ilvl w:val="0"/>
          <w:numId w:val="2"/>
        </w:numPr>
        <w:spacing w:after="90"/>
      </w:pPr>
      <w:r>
        <w:rPr>
          <w:sz w:val="21"/>
          <w:szCs w:val="21"/>
        </w:rPr>
        <w:t xml:space="preserve">Program Opportunity Notice. Soliciting projects to meet technical, economic, environmental and other objectives within a programme area. Multiple awards and cost sharing generally expected.</w:t>
      </w:r>
    </w:p>
    <w:p>
      <w:pPr>
        <w:pStyle w:val="ListParagraph"/>
        <w:numPr>
          <w:ilvl w:val="0"/>
          <w:numId w:val="2"/>
        </w:numPr>
        <w:spacing w:after="90"/>
      </w:pPr>
      <w:r>
        <w:rPr>
          <w:sz w:val="21"/>
          <w:szCs w:val="21"/>
        </w:rPr>
        <w:t xml:space="preserve">Request for Proposals. A specific area of interest where work can be described to a high degree of specificity. Single or multiple awards, cost sharing not generally expected.</w:t>
      </w:r>
    </w:p>
    <w:p>
      <w:pPr>
        <w:pStyle w:val="ListParagraph"/>
        <w:numPr>
          <w:ilvl w:val="0"/>
          <w:numId w:val="2"/>
        </w:numPr>
        <w:spacing w:after="90"/>
      </w:pPr>
      <w:r>
        <w:rPr>
          <w:sz w:val="21"/>
          <w:szCs w:val="21"/>
        </w:rPr>
        <w:t xml:space="preserve">Open Enrollment Program Opportunity Notice. Subscription and incentive based offers. Multiple awards and cost sharing expected.</w:t>
      </w:r>
    </w:p>
    <w:p>
      <w:pPr>
        <w:pStyle w:val="ListParagraph"/>
        <w:numPr>
          <w:ilvl w:val="0"/>
          <w:numId w:val="2"/>
        </w:numPr>
        <w:spacing w:after="90"/>
      </w:pPr>
      <w:r>
        <w:rPr>
          <w:sz w:val="21"/>
          <w:szCs w:val="21"/>
        </w:rPr>
        <w:t xml:space="preserve">Request for Quotation or Qualifications. Procuring on cost or on qualifications. Single or multiple awards, cost sharing not generally expected.</w:t>
      </w:r>
    </w:p>
    <w:p>
      <w:pPr>
        <w:pStyle w:val="Heading2"/>
        <w:spacing w:after="120" w:before="280"/>
      </w:pPr>
      <w:r>
        <w:rPr>
          <w:b/>
          <w:bCs/>
          <w:color w:val="B02020"/>
          <w:sz w:val="24"/>
          <w:szCs w:val="24"/>
        </w:rPr>
        <w:t xml:space="preserve">10.2 Unsolicited proposals</w:t>
      </w:r>
    </w:p>
    <w:p>
      <w:pPr>
        <w:spacing w:after="140"/>
      </w:pPr>
      <w:r>
        <w:rPr>
          <w:sz w:val="21"/>
          <w:szCs w:val="21"/>
        </w:rPr>
        <w:t xml:space="preserve">NYSERDA policy is to award competitively to the maximum extent possible, but it does consider unsolicited proposals. This is the one route that does not depend on a round being open.</w:t>
      </w:r>
    </w:p>
    <w:p>
      <w:pPr>
        <w:pStyle w:val="ListParagraph"/>
        <w:numPr>
          <w:ilvl w:val="0"/>
          <w:numId w:val="2"/>
        </w:numPr>
        <w:spacing w:after="90"/>
      </w:pPr>
      <w:r>
        <w:rPr>
          <w:sz w:val="21"/>
          <w:szCs w:val="21"/>
        </w:rPr>
        <w:t xml:space="preserve">If the proposal relates to an upcoming competitive solicitation, the proposer is asked to resubmit when that solicitation is issued.</w:t>
      </w:r>
    </w:p>
    <w:p>
      <w:pPr>
        <w:pStyle w:val="ListParagraph"/>
        <w:numPr>
          <w:ilvl w:val="0"/>
          <w:numId w:val="2"/>
        </w:numPr>
        <w:spacing w:after="90"/>
      </w:pPr>
      <w:r>
        <w:rPr>
          <w:sz w:val="21"/>
          <w:szCs w:val="21"/>
        </w:rPr>
        <w:t xml:space="preserve">An unsolicited proposal may call NYSERDA attention to a research topic where a competitive solicitation should be issued, in which case the submitter is asked to resubmit under the solicitation guidelines. An unsolicited proposal can therefore cause a solicitation to exist.</w:t>
      </w:r>
    </w:p>
    <w:p>
      <w:pPr>
        <w:pStyle w:val="ListParagraph"/>
        <w:numPr>
          <w:ilvl w:val="0"/>
          <w:numId w:val="2"/>
        </w:numPr>
        <w:spacing w:after="90"/>
      </w:pPr>
      <w:r>
        <w:rPr>
          <w:sz w:val="21"/>
          <w:szCs w:val="21"/>
        </w:rPr>
        <w:t xml:space="preserve">To be considered it must be for superior work relevant to NYSERDA programmes as expressed in the multi year programme plan, technically sound, provide experienced personnel and the facilities to perform the work, and present a cost effective solution to the energy problem addressed.</w:t>
      </w:r>
    </w:p>
    <w:p>
      <w:pPr>
        <w:pStyle w:val="Heading2"/>
        <w:spacing w:after="120" w:before="280"/>
      </w:pPr>
      <w:r>
        <w:rPr>
          <w:b/>
          <w:bCs/>
          <w:color w:val="B02020"/>
          <w:sz w:val="24"/>
          <w:szCs w:val="24"/>
        </w:rPr>
        <w:t xml:space="preserve">10.3 Where the money comes from</w:t>
      </w:r>
    </w:p>
    <w:p>
      <w:pPr>
        <w:spacing w:after="140"/>
      </w:pPr>
      <w:r>
        <w:rPr>
          <w:sz w:val="21"/>
          <w:szCs w:val="21"/>
        </w:rPr>
        <w:t xml:space="preserve">NYSERDA is primarily funded by state ratepayers through the System Benefits Charge and the Clean Energy Fund, collected on electric utility bills. The Innovation and Research line is funded through the Public Service Commission 2025 Innovation and Research Order covering 2026 through 2030. The Clean Green Schools round is funded from the 1 billion USD Sustainable Future Program and the Regional Greenhouse Gas Initiative. The Advanced Fuels area draws on the Regional Greenhouse Gas Initiative Operating Plan Amendment for 2026. Earlier school awards drew on the Environmental Bond Act.</w:t>
      </w:r>
    </w:p>
    <w:p>
      <w:pPr>
        <w:spacing w:after="140"/>
      </w:pPr>
      <w:r>
        <w:rPr>
          <w:sz w:val="21"/>
          <w:szCs w:val="21"/>
        </w:rPr>
        <w:t xml:space="preserve">Two consequences run through everything. System Benefits Charge status is a recurring eligibility gate, with named exceptions for Clean Green Schools and for Category 1 of the heat recovery programme after February 2025. And Clean Energy Fund money may only be awarded to projects serving the customers who fund it, which is the mechanism behind non stackability.</w:t>
      </w:r>
    </w:p>
    <w:p>
      <w:pPr>
        <w:spacing w:after="200" w:before="80"/>
      </w:pPr>
      <w:r>
        <w:rPr>
          <w:i/>
          <w:iCs/>
          <w:color w:val="666666"/>
          <w:sz w:val="17"/>
          <w:szCs w:val="17"/>
        </w:rPr>
        <w:t xml:space="preserve">Source: nyserda.ny.gov Funding Opportunities and FlexTech pages; 2026 announcements; PON 5547 question and answer guide, February 2025.</w:t>
      </w:r>
    </w:p>
    <w:p>
      <w:r>
        <w:br w:type="page"/>
      </w:r>
    </w:p>
    <w:p>
      <w:pPr>
        <w:pStyle w:val="Heading1"/>
        <w:spacing w:after="160" w:before="380"/>
      </w:pPr>
      <w:r>
        <w:rPr>
          <w:b/>
          <w:bCs/>
          <w:color w:val="222222"/>
          <w:sz w:val="30"/>
          <w:szCs w:val="30"/>
        </w:rPr>
        <w:t xml:space="preserve">11. Contacts and access points</w:t>
      </w:r>
    </w:p>
    <w:tbl>
      <w:tblPr>
        <w:tblW w:type="dxa" w:w="9360"/>
        <w:tblBorders>
          <w:top w:val="single" w:color="BBBBBB" w:sz="4"/>
          <w:left w:val="single" w:color="BBBBBB" w:sz="4"/>
          <w:bottom w:val="single" w:color="BBBBBB" w:sz="4"/>
          <w:right w:val="single" w:color="BBBBBB" w:sz="4"/>
          <w:insideH w:val="single" w:color="DDDDDD" w:sz="2"/>
          <w:insideV w:val="single" w:color="DDDDDD" w:sz="2"/>
        </w:tblBorders>
      </w:tblPr>
      <w:tblGrid>
        <w:gridCol w:w="3120"/>
        <w:gridCol w:w="6240"/>
      </w:tblGrid>
      <w:tr>
        <w:trPr>
          <w:tblHeader/>
        </w:trPr>
        <w:tc>
          <w:tcPr>
            <w:tcW w:type="dxa" w:w="3120"/>
            <w:shd w:fill="F2F2F2" w:color="auto" w:val="clear"/>
            <w:tcMar>
              <w:top w:type="dxa" w:w="80"/>
              <w:left w:type="dxa" w:w="110"/>
              <w:bottom w:type="dxa" w:w="80"/>
              <w:right w:type="dxa" w:w="110"/>
            </w:tcMar>
          </w:tcPr>
          <w:p>
            <w:r>
              <w:rPr>
                <w:b/>
                <w:bCs/>
                <w:sz w:val="18"/>
                <w:szCs w:val="18"/>
              </w:rPr>
              <w:t xml:space="preserve">Route</w:t>
            </w:r>
          </w:p>
        </w:tc>
        <w:tc>
          <w:tcPr>
            <w:tcW w:type="dxa" w:w="6240"/>
            <w:shd w:fill="F2F2F2" w:color="auto" w:val="clear"/>
            <w:tcMar>
              <w:top w:type="dxa" w:w="80"/>
              <w:left w:type="dxa" w:w="110"/>
              <w:bottom w:type="dxa" w:w="80"/>
              <w:right w:type="dxa" w:w="110"/>
            </w:tcMar>
          </w:tcPr>
          <w:p>
            <w:r>
              <w:rPr>
                <w:b/>
                <w:bCs/>
                <w:sz w:val="18"/>
                <w:szCs w:val="18"/>
              </w:rPr>
              <w:t xml:space="preserve">Detail</w:t>
            </w:r>
          </w:p>
        </w:tc>
      </w:tr>
      <w:tr>
        <w:trPr>
          <w:tblHeader w:val="false"/>
        </w:trPr>
        <w:tc>
          <w:tcPr>
            <w:tcW w:type="dxa" w:w="3120"/>
            <w:tcMar>
              <w:top w:type="dxa" w:w="80"/>
              <w:left w:type="dxa" w:w="110"/>
              <w:bottom w:type="dxa" w:w="80"/>
              <w:right w:type="dxa" w:w="110"/>
            </w:tcMar>
          </w:tcPr>
          <w:p>
            <w:r>
              <w:rPr>
                <w:sz w:val="18"/>
                <w:szCs w:val="18"/>
              </w:rPr>
              <w:t xml:space="preserve">Heat Recovery Program team</w:t>
            </w:r>
          </w:p>
        </w:tc>
        <w:tc>
          <w:tcPr>
            <w:tcW w:type="dxa" w:w="6240"/>
            <w:tcMar>
              <w:top w:type="dxa" w:w="80"/>
              <w:left w:type="dxa" w:w="110"/>
              <w:bottom w:type="dxa" w:w="80"/>
              <w:right w:type="dxa" w:w="110"/>
            </w:tcMar>
          </w:tcPr>
          <w:p>
            <w:r>
              <w:rPr>
                <w:sz w:val="18"/>
                <w:szCs w:val="18"/>
              </w:rPr>
              <w:t xml:space="preserve">heatrecovery@nyserda.ny.gov</w:t>
            </w:r>
          </w:p>
        </w:tc>
      </w:tr>
      <w:tr>
        <w:trPr>
          <w:tblHeader w:val="false"/>
        </w:trPr>
        <w:tc>
          <w:tcPr>
            <w:tcW w:type="dxa" w:w="3120"/>
            <w:tcMar>
              <w:top w:type="dxa" w:w="80"/>
              <w:left w:type="dxa" w:w="110"/>
              <w:bottom w:type="dxa" w:w="80"/>
              <w:right w:type="dxa" w:w="110"/>
            </w:tcMar>
          </w:tcPr>
          <w:p>
            <w:r>
              <w:rPr>
                <w:sz w:val="18"/>
                <w:szCs w:val="18"/>
              </w:rPr>
              <w:t xml:space="preserve">Clean Green Schools</w:t>
            </w:r>
          </w:p>
        </w:tc>
        <w:tc>
          <w:tcPr>
            <w:tcW w:type="dxa" w:w="6240"/>
            <w:tcMar>
              <w:top w:type="dxa" w:w="80"/>
              <w:left w:type="dxa" w:w="110"/>
              <w:bottom w:type="dxa" w:w="80"/>
              <w:right w:type="dxa" w:w="110"/>
            </w:tcMar>
          </w:tcPr>
          <w:p>
            <w:r>
              <w:rPr>
                <w:sz w:val="18"/>
                <w:szCs w:val="18"/>
              </w:rPr>
              <w:t xml:space="preserve">nyserda.ny.gov/P-12-Clean-Green-Schools and the Clean Green Schools Initiative page</w:t>
            </w:r>
          </w:p>
        </w:tc>
      </w:tr>
      <w:tr>
        <w:trPr>
          <w:tblHeader w:val="false"/>
        </w:trPr>
        <w:tc>
          <w:tcPr>
            <w:tcW w:type="dxa" w:w="3120"/>
            <w:tcMar>
              <w:top w:type="dxa" w:w="80"/>
              <w:left w:type="dxa" w:w="110"/>
              <w:bottom w:type="dxa" w:w="80"/>
              <w:right w:type="dxa" w:w="110"/>
            </w:tcMar>
          </w:tcPr>
          <w:p>
            <w:r>
              <w:rPr>
                <w:sz w:val="18"/>
                <w:szCs w:val="18"/>
              </w:rPr>
              <w:t xml:space="preserve">Solicitation portal</w:t>
            </w:r>
          </w:p>
        </w:tc>
        <w:tc>
          <w:tcPr>
            <w:tcW w:type="dxa" w:w="6240"/>
            <w:tcMar>
              <w:top w:type="dxa" w:w="80"/>
              <w:left w:type="dxa" w:w="110"/>
              <w:bottom w:type="dxa" w:w="80"/>
              <w:right w:type="dxa" w:w="110"/>
            </w:tcMar>
          </w:tcPr>
          <w:p>
            <w:r>
              <w:rPr>
                <w:sz w:val="18"/>
                <w:szCs w:val="18"/>
              </w:rPr>
              <w:t xml:space="preserve">portal.nyserda.ny.gov, solicitation detail pages by identifier</w:t>
            </w:r>
          </w:p>
        </w:tc>
      </w:tr>
      <w:tr>
        <w:trPr>
          <w:tblHeader w:val="false"/>
        </w:trPr>
        <w:tc>
          <w:tcPr>
            <w:tcW w:type="dxa" w:w="3120"/>
            <w:tcMar>
              <w:top w:type="dxa" w:w="80"/>
              <w:left w:type="dxa" w:w="110"/>
              <w:bottom w:type="dxa" w:w="80"/>
              <w:right w:type="dxa" w:w="110"/>
            </w:tcMar>
          </w:tcPr>
          <w:p>
            <w:r>
              <w:rPr>
                <w:sz w:val="18"/>
                <w:szCs w:val="18"/>
              </w:rPr>
              <w:t xml:space="preserve">Current and closed opportunities</w:t>
            </w:r>
          </w:p>
        </w:tc>
        <w:tc>
          <w:tcPr>
            <w:tcW w:type="dxa" w:w="6240"/>
            <w:tcMar>
              <w:top w:type="dxa" w:w="80"/>
              <w:left w:type="dxa" w:w="110"/>
              <w:bottom w:type="dxa" w:w="80"/>
              <w:right w:type="dxa" w:w="110"/>
            </w:tcMar>
          </w:tcPr>
          <w:p>
            <w:r>
              <w:rPr>
                <w:sz w:val="18"/>
                <w:szCs w:val="18"/>
              </w:rPr>
              <w:t xml:space="preserve">nyserda.ny.gov/Funding-Opportunities</w:t>
            </w:r>
          </w:p>
        </w:tc>
      </w:tr>
      <w:tr>
        <w:trPr>
          <w:tblHeader w:val="false"/>
        </w:trPr>
        <w:tc>
          <w:tcPr>
            <w:tcW w:type="dxa" w:w="3120"/>
            <w:tcMar>
              <w:top w:type="dxa" w:w="80"/>
              <w:left w:type="dxa" w:w="110"/>
              <w:bottom w:type="dxa" w:w="80"/>
              <w:right w:type="dxa" w:w="110"/>
            </w:tcMar>
          </w:tcPr>
          <w:p>
            <w:r>
              <w:rPr>
                <w:sz w:val="18"/>
                <w:szCs w:val="18"/>
              </w:rPr>
              <w:t xml:space="preserve">Innovation funding</w:t>
            </w:r>
          </w:p>
        </w:tc>
        <w:tc>
          <w:tcPr>
            <w:tcW w:type="dxa" w:w="6240"/>
            <w:tcMar>
              <w:top w:type="dxa" w:w="80"/>
              <w:left w:type="dxa" w:w="110"/>
              <w:bottom w:type="dxa" w:w="80"/>
              <w:right w:type="dxa" w:w="110"/>
            </w:tcMar>
          </w:tcPr>
          <w:p>
            <w:r>
              <w:rPr>
                <w:sz w:val="18"/>
                <w:szCs w:val="18"/>
              </w:rPr>
              <w:t xml:space="preserve">nyserda.ny.gov/All-Programs/Innovation-at-NYSERDA/Funding-Opportunities</w:t>
            </w:r>
          </w:p>
        </w:tc>
      </w:tr>
      <w:tr>
        <w:trPr>
          <w:tblHeader w:val="false"/>
        </w:trPr>
        <w:tc>
          <w:tcPr>
            <w:tcW w:type="dxa" w:w="3120"/>
            <w:tcMar>
              <w:top w:type="dxa" w:w="80"/>
              <w:left w:type="dxa" w:w="110"/>
              <w:bottom w:type="dxa" w:w="80"/>
              <w:right w:type="dxa" w:w="110"/>
            </w:tcMar>
          </w:tcPr>
          <w:p>
            <w:r>
              <w:rPr>
                <w:sz w:val="18"/>
                <w:szCs w:val="18"/>
              </w:rPr>
              <w:t xml:space="preserve">Large-Scale Thermal</w:t>
            </w:r>
          </w:p>
        </w:tc>
        <w:tc>
          <w:tcPr>
            <w:tcW w:type="dxa" w:w="6240"/>
            <w:tcMar>
              <w:top w:type="dxa" w:w="80"/>
              <w:left w:type="dxa" w:w="110"/>
              <w:bottom w:type="dxa" w:w="80"/>
              <w:right w:type="dxa" w:w="110"/>
            </w:tcMar>
          </w:tcPr>
          <w:p>
            <w:r>
              <w:rPr>
                <w:sz w:val="18"/>
                <w:szCs w:val="18"/>
              </w:rPr>
              <w:t xml:space="preserve">nyserda.ny.gov/All-Programs/Large-Scale-Thermal</w:t>
            </w:r>
          </w:p>
        </w:tc>
      </w:tr>
      <w:tr>
        <w:trPr>
          <w:tblHeader w:val="false"/>
        </w:trPr>
        <w:tc>
          <w:tcPr>
            <w:tcW w:type="dxa" w:w="3120"/>
            <w:tcMar>
              <w:top w:type="dxa" w:w="80"/>
              <w:left w:type="dxa" w:w="110"/>
              <w:bottom w:type="dxa" w:w="80"/>
              <w:right w:type="dxa" w:w="110"/>
            </w:tcMar>
          </w:tcPr>
          <w:p>
            <w:r>
              <w:rPr>
                <w:sz w:val="18"/>
                <w:szCs w:val="18"/>
              </w:rPr>
              <w:t xml:space="preserve">FlexTech and consultant list</w:t>
            </w:r>
          </w:p>
        </w:tc>
        <w:tc>
          <w:tcPr>
            <w:tcW w:type="dxa" w:w="6240"/>
            <w:tcMar>
              <w:top w:type="dxa" w:w="80"/>
              <w:left w:type="dxa" w:w="110"/>
              <w:bottom w:type="dxa" w:w="80"/>
              <w:right w:type="dxa" w:w="110"/>
            </w:tcMar>
          </w:tcPr>
          <w:p>
            <w:r>
              <w:rPr>
                <w:sz w:val="18"/>
                <w:szCs w:val="18"/>
              </w:rPr>
              <w:t xml:space="preserve">nyserda.ny.gov/FlexTech</w:t>
            </w:r>
          </w:p>
        </w:tc>
      </w:tr>
      <w:tr>
        <w:trPr>
          <w:tblHeader w:val="false"/>
        </w:trPr>
        <w:tc>
          <w:tcPr>
            <w:tcW w:type="dxa" w:w="3120"/>
            <w:tcMar>
              <w:top w:type="dxa" w:w="80"/>
              <w:left w:type="dxa" w:w="110"/>
              <w:bottom w:type="dxa" w:w="80"/>
              <w:right w:type="dxa" w:w="110"/>
            </w:tcMar>
          </w:tcPr>
          <w:p>
            <w:r>
              <w:rPr>
                <w:sz w:val="18"/>
                <w:szCs w:val="18"/>
              </w:rPr>
              <w:t xml:space="preserve">Just Transition Site Reuse</w:t>
            </w:r>
          </w:p>
        </w:tc>
        <w:tc>
          <w:tcPr>
            <w:tcW w:type="dxa" w:w="6240"/>
            <w:tcMar>
              <w:top w:type="dxa" w:w="80"/>
              <w:left w:type="dxa" w:w="110"/>
              <w:bottom w:type="dxa" w:w="80"/>
              <w:right w:type="dxa" w:w="110"/>
            </w:tcMar>
          </w:tcPr>
          <w:p>
            <w:r>
              <w:rPr>
                <w:sz w:val="18"/>
                <w:szCs w:val="18"/>
              </w:rPr>
              <w:t xml:space="preserve">nyserda.ny.gov/All-Programs/Just-Transition-Site-Reuse-Planning-Program</w:t>
            </w:r>
          </w:p>
        </w:tc>
      </w:tr>
      <w:tr>
        <w:trPr>
          <w:tblHeader w:val="false"/>
        </w:trPr>
        <w:tc>
          <w:tcPr>
            <w:tcW w:type="dxa" w:w="3120"/>
            <w:tcMar>
              <w:top w:type="dxa" w:w="80"/>
              <w:left w:type="dxa" w:w="110"/>
              <w:bottom w:type="dxa" w:w="80"/>
              <w:right w:type="dxa" w:w="110"/>
            </w:tcMar>
          </w:tcPr>
          <w:p>
            <w:r>
              <w:rPr>
                <w:sz w:val="18"/>
                <w:szCs w:val="18"/>
              </w:rPr>
              <w:t xml:space="preserve">Large load interconnection proceeding</w:t>
            </w:r>
          </w:p>
        </w:tc>
        <w:tc>
          <w:tcPr>
            <w:tcW w:type="dxa" w:w="6240"/>
            <w:tcMar>
              <w:top w:type="dxa" w:w="80"/>
              <w:left w:type="dxa" w:w="110"/>
              <w:bottom w:type="dxa" w:w="80"/>
              <w:right w:type="dxa" w:w="110"/>
            </w:tcMar>
          </w:tcPr>
          <w:p>
            <w:r>
              <w:rPr>
                <w:sz w:val="18"/>
                <w:szCs w:val="18"/>
              </w:rPr>
              <w:t xml:space="preserve">Case 26-E-0045, Department of Public Service</w:t>
            </w:r>
          </w:p>
        </w:tc>
      </w:tr>
      <w:tr>
        <w:trPr>
          <w:tblHeader w:val="false"/>
        </w:trPr>
        <w:tc>
          <w:tcPr>
            <w:tcW w:type="dxa" w:w="3120"/>
            <w:tcMar>
              <w:top w:type="dxa" w:w="80"/>
              <w:left w:type="dxa" w:w="110"/>
              <w:bottom w:type="dxa" w:w="80"/>
              <w:right w:type="dxa" w:w="110"/>
            </w:tcMar>
          </w:tcPr>
          <w:p>
            <w:r>
              <w:rPr>
                <w:sz w:val="18"/>
                <w:szCs w:val="18"/>
              </w:rPr>
              <w:t xml:space="preserve">The legislation</w:t>
            </w:r>
          </w:p>
        </w:tc>
        <w:tc>
          <w:tcPr>
            <w:tcW w:type="dxa" w:w="6240"/>
            <w:tcMar>
              <w:top w:type="dxa" w:w="80"/>
              <w:left w:type="dxa" w:w="110"/>
              <w:bottom w:type="dxa" w:w="80"/>
              <w:right w:type="dxa" w:w="110"/>
            </w:tcMar>
          </w:tcPr>
          <w:p>
            <w:r>
              <w:rPr>
                <w:sz w:val="18"/>
                <w:szCs w:val="18"/>
              </w:rPr>
              <w:t xml:space="preserve">S10642 and A11560, nysenate.gov</w:t>
            </w:r>
          </w:p>
        </w:tc>
      </w:tr>
      <w:tr>
        <w:trPr>
          <w:tblHeader w:val="false"/>
        </w:trPr>
        <w:tc>
          <w:tcPr>
            <w:tcW w:type="dxa" w:w="3120"/>
            <w:tcMar>
              <w:top w:type="dxa" w:w="80"/>
              <w:left w:type="dxa" w:w="110"/>
              <w:bottom w:type="dxa" w:w="80"/>
              <w:right w:type="dxa" w:w="110"/>
            </w:tcMar>
          </w:tcPr>
          <w:p>
            <w:r>
              <w:rPr>
                <w:sz w:val="18"/>
                <w:szCs w:val="18"/>
              </w:rPr>
              <w:t xml:space="preserve">Head office</w:t>
            </w:r>
          </w:p>
        </w:tc>
        <w:tc>
          <w:tcPr>
            <w:tcW w:type="dxa" w:w="6240"/>
            <w:tcMar>
              <w:top w:type="dxa" w:w="80"/>
              <w:left w:type="dxa" w:w="110"/>
              <w:bottom w:type="dxa" w:w="80"/>
              <w:right w:type="dxa" w:w="110"/>
            </w:tcMar>
          </w:tcPr>
          <w:p>
            <w:r>
              <w:rPr>
                <w:sz w:val="18"/>
                <w:szCs w:val="18"/>
              </w:rPr>
              <w:t xml:space="preserve">17 Columbia Circle, Albany, New York 12203-6399. 518 862 1090, or 866 NYSERDA toll free</w:t>
            </w:r>
          </w:p>
        </w:tc>
      </w:tr>
      <w:tr>
        <w:trPr>
          <w:tblHeader w:val="false"/>
        </w:trPr>
        <w:tc>
          <w:tcPr>
            <w:tcW w:type="dxa" w:w="3120"/>
            <w:tcMar>
              <w:top w:type="dxa" w:w="80"/>
              <w:left w:type="dxa" w:w="110"/>
              <w:bottom w:type="dxa" w:w="80"/>
              <w:right w:type="dxa" w:w="110"/>
            </w:tcMar>
          </w:tcPr>
          <w:p>
            <w:r>
              <w:rPr>
                <w:sz w:val="18"/>
                <w:szCs w:val="18"/>
              </w:rPr>
              <w:t xml:space="preserve">Leadership</w:t>
            </w:r>
          </w:p>
        </w:tc>
        <w:tc>
          <w:tcPr>
            <w:tcW w:type="dxa" w:w="6240"/>
            <w:tcMar>
              <w:top w:type="dxa" w:w="80"/>
              <w:left w:type="dxa" w:w="110"/>
              <w:bottom w:type="dxa" w:w="80"/>
              <w:right w:type="dxa" w:w="110"/>
            </w:tcMar>
          </w:tcPr>
          <w:p>
            <w:r>
              <w:rPr>
                <w:sz w:val="18"/>
                <w:szCs w:val="18"/>
              </w:rPr>
              <w:t xml:space="preserve">Doreen M. Harris, President and Chief Executive Officer. Charles Bell, Acting Chair. Peter Costello, Chief Operating Officer</w:t>
            </w:r>
          </w:p>
        </w:tc>
      </w:tr>
      <w:tr>
        <w:trPr>
          <w:tblHeader w:val="false"/>
        </w:trPr>
        <w:tc>
          <w:tcPr>
            <w:tcW w:type="dxa" w:w="3120"/>
            <w:tcMar>
              <w:top w:type="dxa" w:w="80"/>
              <w:left w:type="dxa" w:w="110"/>
              <w:bottom w:type="dxa" w:w="80"/>
              <w:right w:type="dxa" w:w="110"/>
            </w:tcMar>
          </w:tcPr>
          <w:p>
            <w:r>
              <w:rPr>
                <w:sz w:val="18"/>
                <w:szCs w:val="18"/>
              </w:rPr>
              <w:t xml:space="preserve">Public Service Commission</w:t>
            </w:r>
          </w:p>
        </w:tc>
        <w:tc>
          <w:tcPr>
            <w:tcW w:type="dxa" w:w="6240"/>
            <w:tcMar>
              <w:top w:type="dxa" w:w="80"/>
              <w:left w:type="dxa" w:w="110"/>
              <w:bottom w:type="dxa" w:w="80"/>
              <w:right w:type="dxa" w:w="110"/>
            </w:tcMar>
          </w:tcPr>
          <w:p>
            <w:r>
              <w:rPr>
                <w:sz w:val="18"/>
                <w:szCs w:val="18"/>
              </w:rPr>
              <w:t xml:space="preserve">Rory Christian, Chair</w:t>
            </w:r>
          </w:p>
        </w:tc>
      </w:tr>
    </w:tbl>
    <w:p>
      <w:pPr>
        <w:spacing w:after="200" w:before="80"/>
      </w:pPr>
      <w:r>
        <w:rPr>
          <w:i/>
          <w:iCs/>
          <w:color w:val="666666"/>
          <w:sz w:val="17"/>
          <w:szCs w:val="17"/>
        </w:rPr>
        <w:t xml:space="preserve">Source: nyserda.ny.gov and governor.ny.gov, read 30 July 2026.</w:t>
      </w:r>
    </w:p>
    <w:p>
      <w:pPr>
        <w:pBdr>
          <w:bottom w:val="single" w:color="CCCCCC" w:sz="6" w:space="1"/>
        </w:pBdr>
        <w:spacing w:after="200" w:before="120"/>
      </w:pPr>
      <w:r>
        <w:rPr>
          <w:sz w:val="2"/>
          <w:szCs w:val="2"/>
        </w:rPr>
        <w:t xml:space="preserve"/>
      </w:r>
    </w:p>
    <w:p>
      <w:pPr>
        <w:pStyle w:val="Heading1"/>
        <w:spacing w:after="160" w:before="380"/>
      </w:pPr>
      <w:r>
        <w:rPr>
          <w:b/>
          <w:bCs/>
          <w:color w:val="222222"/>
          <w:sz w:val="30"/>
          <w:szCs w:val="30"/>
        </w:rPr>
        <w:t xml:space="preserve">12. Verification list</w:t>
      </w:r>
    </w:p>
    <w:p>
      <w:pPr>
        <w:spacing w:after="140"/>
      </w:pPr>
      <w:r>
        <w:rPr>
          <w:sz w:val="21"/>
          <w:szCs w:val="21"/>
        </w:rPr>
        <w:t xml:space="preserve">To confirm directly rather than from the website, in the order they affect decisions.</w:t>
      </w:r>
    </w:p>
    <w:p>
      <w:pPr>
        <w:pStyle w:val="ListParagraph"/>
        <w:numPr>
          <w:ilvl w:val="0"/>
          <w:numId w:val="2"/>
        </w:numPr>
        <w:spacing w:after="90"/>
      </w:pPr>
      <w:r>
        <w:rPr>
          <w:sz w:val="21"/>
          <w:szCs w:val="21"/>
        </w:rPr>
        <w:t xml:space="preserve">Whether the Governor has signed the Responsible Data Center Development Act, and if so the effective date, since every threshold in section 4.2 turns on it.</w:t>
      </w:r>
    </w:p>
    <w:p>
      <w:pPr>
        <w:pStyle w:val="ListParagraph"/>
        <w:numPr>
          <w:ilvl w:val="0"/>
          <w:numId w:val="2"/>
        </w:numPr>
        <w:spacing w:after="90"/>
      </w:pPr>
      <w:r>
        <w:rPr>
          <w:sz w:val="21"/>
          <w:szCs w:val="21"/>
        </w:rPr>
        <w:t xml:space="preserve">Whether a district in the target set holds Priority District designation or sits in a disadvantaged community, before 18 August 2026.</w:t>
      </w:r>
    </w:p>
    <w:p>
      <w:pPr>
        <w:pStyle w:val="ListParagraph"/>
        <w:numPr>
          <w:ilvl w:val="0"/>
          <w:numId w:val="2"/>
        </w:numPr>
        <w:spacing w:after="90"/>
      </w:pPr>
      <w:r>
        <w:rPr>
          <w:sz w:val="21"/>
          <w:szCs w:val="21"/>
        </w:rPr>
        <w:t xml:space="preserve">Whether NYSERDA will take input into the Article 19 efficiency goal setting, and through which proceeding or docket.</w:t>
      </w:r>
    </w:p>
    <w:p>
      <w:pPr>
        <w:pStyle w:val="ListParagraph"/>
        <w:numPr>
          <w:ilvl w:val="0"/>
          <w:numId w:val="2"/>
        </w:numPr>
        <w:spacing w:after="90"/>
      </w:pPr>
      <w:r>
        <w:rPr>
          <w:sz w:val="21"/>
          <w:szCs w:val="21"/>
        </w:rPr>
        <w:t xml:space="preserve">The exact scope of the Executive Order threshold, since the 50 MW figure is trade press rather than read from the order.</w:t>
      </w:r>
    </w:p>
    <w:p>
      <w:pPr>
        <w:pStyle w:val="ListParagraph"/>
        <w:numPr>
          <w:ilvl w:val="0"/>
          <w:numId w:val="2"/>
        </w:numPr>
        <w:spacing w:after="90"/>
      </w:pPr>
      <w:r>
        <w:rPr>
          <w:sz w:val="21"/>
          <w:szCs w:val="21"/>
        </w:rPr>
        <w:t xml:space="preserve">Whether the buildings innovation line will run again in 2027, and its expected announcement month, given the 2026 round closed 23 July.</w:t>
      </w:r>
    </w:p>
    <w:p>
      <w:pPr>
        <w:pStyle w:val="ListParagraph"/>
        <w:numPr>
          <w:ilvl w:val="0"/>
          <w:numId w:val="2"/>
        </w:numPr>
        <w:spacing w:after="90"/>
      </w:pPr>
      <w:r>
        <w:rPr>
          <w:sz w:val="21"/>
          <w:szCs w:val="21"/>
        </w:rPr>
        <w:t xml:space="preserve">Whether a successor to the Heat Recovery Program is in preparation, and whether the data center demonstration line survives into it.</w:t>
      </w:r>
    </w:p>
    <w:p>
      <w:pPr>
        <w:pStyle w:val="ListParagraph"/>
        <w:numPr>
          <w:ilvl w:val="0"/>
          <w:numId w:val="2"/>
        </w:numPr>
        <w:spacing w:after="90"/>
      </w:pPr>
      <w:r>
        <w:rPr>
          <w:sz w:val="21"/>
          <w:szCs w:val="21"/>
        </w:rPr>
        <w:t xml:space="preserve">The year and published ceiling of the Large-Scale Thermal Round 3.</w:t>
      </w:r>
    </w:p>
    <w:p>
      <w:pPr>
        <w:pStyle w:val="ListParagraph"/>
        <w:numPr>
          <w:ilvl w:val="0"/>
          <w:numId w:val="2"/>
        </w:numPr>
        <w:spacing w:after="90"/>
      </w:pPr>
      <w:r>
        <w:rPr>
          <w:sz w:val="21"/>
          <w:szCs w:val="21"/>
        </w:rPr>
        <w:t xml:space="preserve">Whether RFQL 5217 is still accepting manufacturer submissions or is closed with a fixed list.</w:t>
      </w:r>
    </w:p>
    <w:p>
      <w:pPr>
        <w:pStyle w:val="ListParagraph"/>
        <w:numPr>
          <w:ilvl w:val="0"/>
          <w:numId w:val="2"/>
        </w:numPr>
        <w:spacing w:after="90"/>
      </w:pPr>
      <w:r>
        <w:rPr>
          <w:sz w:val="21"/>
          <w:szCs w:val="21"/>
        </w:rPr>
        <w:t xml:space="preserve">How non stackability is applied where one site carries both a thermal measure and a compute measure that are distinct but physically coupled.</w:t>
      </w:r>
    </w:p>
    <w:p>
      <w:pPr>
        <w:pStyle w:val="ListParagraph"/>
        <w:numPr>
          <w:ilvl w:val="0"/>
          <w:numId w:val="2"/>
        </w:numPr>
        <w:spacing w:after="90"/>
      </w:pPr>
      <w:r>
        <w:rPr>
          <w:sz w:val="21"/>
          <w:szCs w:val="21"/>
        </w:rPr>
        <w:t xml:space="preserve">Whether Large-Scale Thermal new construction eligibility extends to a new thermal plant serving existing buildings.</w:t>
      </w:r>
    </w:p>
    <w:p>
      <w:pPr>
        <w:pBdr>
          <w:bottom w:val="single" w:color="CCCCCC" w:sz="6" w:space="1"/>
        </w:pBdr>
        <w:spacing w:after="200" w:before="120"/>
      </w:pPr>
      <w:r>
        <w:rPr>
          <w:sz w:val="2"/>
          <w:szCs w:val="2"/>
        </w:rPr>
        <w:t xml:space="preserve"/>
      </w:r>
    </w:p>
    <w:p>
      <w:pPr>
        <w:spacing w:after="140"/>
      </w:pPr>
      <w:r>
        <w:rPr>
          <w:i/>
          <w:iCs/>
          <w:sz w:val="21"/>
          <w:szCs w:val="21"/>
        </w:rPr>
        <w:t xml:space="preserve">End of note.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MicroLink Data Centers  |  NYSERDA and New York State  |  30 July 2026  |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lvl w:ilvl="1" w15:tentative="1">
      <w:start w:val="1"/>
      <w:numFmt w:val="bullet"/>
      <w:lvlText w:val="◦"/>
      <w:lvlJc w:val="left"/>
      <w:pPr>
        <w:ind w:left="863"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2026-07-30T06:00:08.521Z</dcterms:created>
  <dcterms:modified xsi:type="dcterms:W3CDTF">2026-07-30T06:00:08.538Z</dcterms:modified>
</cp:coreProperties>
</file>

<file path=docProps/custom.xml><?xml version="1.0" encoding="utf-8"?>
<Properties xmlns="http://schemas.openxmlformats.org/officeDocument/2006/custom-properties" xmlns:vt="http://schemas.openxmlformats.org/officeDocument/2006/docPropsVTypes"/>
</file>