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2020"/>
          <w:spacing w:val="40"/>
          <w:sz w:val="18"/>
          <w:szCs w:val="18"/>
        </w:rPr>
        <w:t xml:space="preserve">MICROLINK DATA CENTERS</w:t>
      </w:r>
    </w:p>
    <w:p>
      <w:pPr>
        <w:spacing w:after="80"/>
      </w:pPr>
      <w:r>
        <w:rPr>
          <w:b/>
          <w:bCs/>
          <w:color w:val="222222"/>
          <w:sz w:val="52"/>
          <w:szCs w:val="52"/>
        </w:rPr>
        <w:t xml:space="preserve">Pennsylvania</w:t>
      </w:r>
    </w:p>
    <w:p>
      <w:pPr>
        <w:spacing w:after="240"/>
      </w:pPr>
      <w:r>
        <w:rPr>
          <w:color w:val="555555"/>
          <w:sz w:val="28"/>
          <w:szCs w:val="28"/>
        </w:rPr>
        <w:t xml:space="preserve">Programs, Regulation and Funding Mapped to the MicroLink Pipeline</w:t>
      </w:r>
    </w:p>
    <w:p>
      <w:pPr>
        <w:spacing w:after="40"/>
      </w:pPr>
      <w:r>
        <w:rPr>
          <w:b/>
          <w:bCs/>
          <w:sz w:val="21"/>
          <w:szCs w:val="21"/>
        </w:rPr>
        <w:t xml:space="preserve">Research note. Position as at 30 July 2026. Companion to the New York State note of the same date.</w:t>
      </w:r>
    </w:p>
    <w:p>
      <w:pPr>
        <w:spacing w:after="140"/>
      </w:pPr>
      <w:r>
        <w:rPr>
          <w:sz w:val="21"/>
          <w:szCs w:val="21"/>
        </w:rPr>
        <w:t xml:space="preserve">Compiled from PENNVEST, DEP, DCED, the Office of the Budget, the Public Utility Commission, the Department of Revenue, the Department of Agriculture, the Pennsylvania General Assembly, PJM, PennTAP, the Sustainable Energy Fund, the Philadelphia Energy Authority, Lehigh Valley Economic Development Corporation, Vicinity Energy, several law firm analyses and local press. Figures and dates are attributed to the source they came from. Where sources conflict, both are given.</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 Flags</w:t>
      </w:r>
    </w:p>
    <w:p>
      <w:pPr>
        <w:pStyle w:val="ListParagraph"/>
        <w:numPr>
          <w:ilvl w:val="0"/>
          <w:numId w:val="2"/>
        </w:numPr>
        <w:spacing w:after="90"/>
      </w:pPr>
      <w:r>
        <w:rPr>
          <w:sz w:val="21"/>
          <w:szCs w:val="21"/>
        </w:rPr>
        <w:t xml:space="preserve">HB 2198 would repeal the Computer Data Center Equipment sales and use tax exemption. It passed the House on 25 June 2026 by 197 votes to 5 and was referred to Senate Finance on 26 June 2026. The exemption is currently uncapped and removes 6 per cent Pennsylvania sales and use tax on qualifying data center equipment.</w:t>
      </w:r>
    </w:p>
    <w:p>
      <w:pPr>
        <w:pStyle w:val="ListParagraph"/>
        <w:numPr>
          <w:ilvl w:val="0"/>
          <w:numId w:val="2"/>
        </w:numPr>
        <w:spacing w:after="90"/>
      </w:pPr>
      <w:r>
        <w:rPr>
          <w:sz w:val="21"/>
          <w:szCs w:val="21"/>
        </w:rPr>
        <w:t xml:space="preserve">The Public Utility Commission finalised its large load model tariff on 12 May 2026 under Docket M-2025-3054271. It applies to individual customers above 50 MW maximum contract capacity, or to multiple closely located customers at 100 MW aggregate.</w:t>
      </w:r>
    </w:p>
    <w:p>
      <w:pPr>
        <w:pStyle w:val="ListParagraph"/>
        <w:numPr>
          <w:ilvl w:val="0"/>
          <w:numId w:val="2"/>
        </w:numPr>
        <w:spacing w:after="90"/>
      </w:pPr>
      <w:r>
        <w:rPr>
          <w:sz w:val="21"/>
          <w:szCs w:val="21"/>
        </w:rPr>
        <w:t xml:space="preserve">The Bethlehem host candidate is the former Bowery Farming vertical farm in Lehigh Valley Industrial Park VII. The closure date in the record is a WARN notice covering 104 layoffs effective 1 November 2024, not December 2025. The building is currently marketed for lease by CBRE.</w:t>
      </w:r>
    </w:p>
    <w:p>
      <w:pPr>
        <w:pStyle w:val="ListParagraph"/>
        <w:numPr>
          <w:ilvl w:val="0"/>
          <w:numId w:val="2"/>
        </w:numPr>
        <w:spacing w:after="90"/>
      </w:pPr>
      <w:r>
        <w:rPr>
          <w:sz w:val="21"/>
          <w:szCs w:val="21"/>
        </w:rPr>
        <w:t xml:space="preserve">Two source conflicts on the Bethlehem site remain open: the street number is given as 1025 Feather Way on current listings and 1925 Feather Way in opening day reporting, and the floor area is given as both 13,935 sq m (150,000 sq ft) and 14,494 sq m (156,000 sq ft).</w:t>
      </w:r>
    </w:p>
    <w:p>
      <w:pPr>
        <w:pStyle w:val="ListParagraph"/>
        <w:numPr>
          <w:ilvl w:val="0"/>
          <w:numId w:val="2"/>
        </w:numPr>
        <w:spacing w:after="90"/>
      </w:pPr>
      <w:r>
        <w:rPr>
          <w:sz w:val="21"/>
          <w:szCs w:val="21"/>
        </w:rPr>
        <w:t xml:space="preserve">RISE PA medium and large track Round 2 closed 31 July 2026 with 52 million USD in the round. Small scale track Round 4 closes 15 August 2026 per DEP, 17 August 2026 per PennTAP.</w:t>
      </w:r>
    </w:p>
    <w:p>
      <w:pPr>
        <w:pStyle w:val="ListParagraph"/>
        <w:numPr>
          <w:ilvl w:val="0"/>
          <w:numId w:val="2"/>
        </w:numPr>
        <w:spacing w:after="90"/>
      </w:pPr>
      <w:r>
        <w:rPr>
          <w:sz w:val="21"/>
          <w:szCs w:val="21"/>
        </w:rPr>
        <w:t xml:space="preserve">Act 129 Phase V began 1 June 2026 and runs to 31 May 2031. The Phase V technical reference manual sets which measures are prescriptive and which go through the custom route.</w:t>
      </w:r>
    </w:p>
    <w:p>
      <w:pPr>
        <w:pStyle w:val="ListParagraph"/>
        <w:numPr>
          <w:ilvl w:val="0"/>
          <w:numId w:val="2"/>
        </w:numPr>
        <w:spacing w:after="90"/>
      </w:pPr>
      <w:r>
        <w:rPr>
          <w:sz w:val="21"/>
          <w:szCs w:val="21"/>
        </w:rPr>
        <w:t xml:space="preserve">Guaranteed Energy Savings Act contracts may only be procured by Commonwealth entities, political subdivisions and authorities. A private entity cannot be the procurer, only the energy services company delivering under the contract.</w:t>
      </w:r>
    </w:p>
    <w:p>
      <w:pPr>
        <w:pStyle w:val="ListParagraph"/>
        <w:numPr>
          <w:ilvl w:val="0"/>
          <w:numId w:val="2"/>
        </w:numPr>
        <w:spacing w:after="90"/>
      </w:pPr>
      <w:r>
        <w:rPr>
          <w:sz w:val="21"/>
          <w:szCs w:val="21"/>
        </w:rPr>
        <w:t xml:space="preserve">The Redevelopment Assistance Capital Program application window is closed. The 2025 round closed 23 September 2025 and a 16 July 2026 update announced further releases from that round.</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2. Scope and method</w:t>
      </w:r>
    </w:p>
    <w:p>
      <w:pPr>
        <w:spacing w:after="140"/>
      </w:pPr>
      <w:r>
        <w:rPr>
          <w:sz w:val="21"/>
          <w:szCs w:val="21"/>
        </w:rPr>
        <w:t xml:space="preserve">Pennsylvania has no single agency equivalent to NYSERDA. Instruments are distributed across the Department of Environmental Protection, the Department of Community and Economic Development, the Office of the Budget, PENNVEST, the Pennsylvania Energy Development Authority, the Public Utility Commission, the Department of Revenue, the Department of Agriculture, and county and municipal programmes. This note follows the instrument rather than the agency.</w:t>
      </w:r>
    </w:p>
    <w:p>
      <w:pPr>
        <w:spacing w:after="80" w:before="160"/>
      </w:pPr>
      <w:r>
        <w:rPr>
          <w:b/>
          <w:bCs/>
          <w:sz w:val="21"/>
          <w:szCs w:val="21"/>
        </w:rPr>
        <w:t xml:space="preserve">Coverage boundary</w:t>
      </w:r>
    </w:p>
    <w:p>
      <w:pPr>
        <w:spacing w:after="140"/>
      </w:pPr>
      <w:r>
        <w:rPr>
          <w:sz w:val="21"/>
          <w:szCs w:val="21"/>
        </w:rPr>
        <w:t xml:space="preserve">Covers the Pennsylvania sites: the Vicinity Energy Grays Ferry and Schuylkill Station district heating opportunity in Philadelphia, the Bethlehem site, the Water Neutral 750 MW campus, the river site in Philadelphia, and Pittsburgh as an integration workshop location. New York State instruments are in the companion note. Mansfield in Ohio is outside both.</w:t>
      </w:r>
    </w:p>
    <w:p>
      <w:pPr>
        <w:spacing w:after="80" w:before="160"/>
      </w:pPr>
      <w:r>
        <w:rPr>
          <w:b/>
          <w:bCs/>
          <w:sz w:val="21"/>
          <w:szCs w:val="21"/>
        </w:rPr>
        <w:t xml:space="preserve">Items requiring primary source verification</w:t>
      </w:r>
    </w:p>
    <w:p>
      <w:pPr>
        <w:pStyle w:val="ListParagraph"/>
        <w:numPr>
          <w:ilvl w:val="0"/>
          <w:numId w:val="2"/>
        </w:numPr>
        <w:spacing w:after="90"/>
      </w:pPr>
      <w:r>
        <w:rPr>
          <w:sz w:val="21"/>
          <w:szCs w:val="21"/>
        </w:rPr>
        <w:t xml:space="preserve">Northampton County parcel identifier and current deeded owner for the Bethlehem site, and the correct street number.</w:t>
      </w:r>
    </w:p>
    <w:p>
      <w:pPr>
        <w:pStyle w:val="ListParagraph"/>
        <w:numPr>
          <w:ilvl w:val="0"/>
          <w:numId w:val="2"/>
        </w:numPr>
        <w:spacing w:after="90"/>
      </w:pPr>
      <w:r>
        <w:rPr>
          <w:sz w:val="21"/>
          <w:szCs w:val="21"/>
        </w:rPr>
        <w:t xml:space="preserve">Zoning designation for the specific parcel, and Keystone Opportunity Zone designation and expiry if any.</w:t>
      </w:r>
    </w:p>
    <w:p>
      <w:pPr>
        <w:pStyle w:val="ListParagraph"/>
        <w:numPr>
          <w:ilvl w:val="0"/>
          <w:numId w:val="2"/>
        </w:numPr>
        <w:spacing w:after="90"/>
      </w:pPr>
      <w:r>
        <w:rPr>
          <w:sz w:val="21"/>
          <w:szCs w:val="21"/>
        </w:rPr>
        <w:t xml:space="preserve">Current expiry date of South Side LERTA District II in the Northampton County ordinance.</w:t>
      </w:r>
    </w:p>
    <w:p>
      <w:pPr>
        <w:pStyle w:val="ListParagraph"/>
        <w:numPr>
          <w:ilvl w:val="0"/>
          <w:numId w:val="2"/>
        </w:numPr>
        <w:spacing w:after="90"/>
      </w:pPr>
      <w:r>
        <w:rPr>
          <w:sz w:val="21"/>
          <w:szCs w:val="21"/>
        </w:rPr>
        <w:t xml:space="preserve">Per project incentive ceilings under Act 129 Phase V. Figures in section 7 for PECO and FirstEnergy derive from an energy services vendor, not from a utility tariff.</w:t>
      </w:r>
    </w:p>
    <w:p>
      <w:pPr>
        <w:pStyle w:val="ListParagraph"/>
        <w:numPr>
          <w:ilvl w:val="0"/>
          <w:numId w:val="2"/>
        </w:numPr>
        <w:spacing w:after="90"/>
      </w:pPr>
      <w:r>
        <w:rPr>
          <w:sz w:val="21"/>
          <w:szCs w:val="21"/>
        </w:rPr>
        <w:t xml:space="preserve">Pennsylvania First programme wide ceiling and cost share.</w:t>
      </w:r>
    </w:p>
    <w:p>
      <w:pPr>
        <w:pStyle w:val="ListParagraph"/>
        <w:numPr>
          <w:ilvl w:val="0"/>
          <w:numId w:val="2"/>
        </w:numPr>
        <w:spacing w:after="90"/>
      </w:pPr>
      <w:r>
        <w:rPr>
          <w:sz w:val="21"/>
          <w:szCs w:val="21"/>
        </w:rPr>
        <w:t xml:space="preserve">Whether a Department of Energy Industrial Efficiency and Decarbonization Office solicitation open to Pennsylvania sites is currently live.</w:t>
      </w:r>
    </w:p>
    <w:p>
      <w:pPr>
        <w:pStyle w:val="ListParagraph"/>
        <w:numPr>
          <w:ilvl w:val="0"/>
          <w:numId w:val="2"/>
        </w:numPr>
        <w:spacing w:after="90"/>
      </w:pPr>
      <w:r>
        <w:rPr>
          <w:sz w:val="21"/>
          <w:szCs w:val="21"/>
        </w:rPr>
        <w:t xml:space="preserve">The administering entity and current status of the Green Bank for Rural America.</w:t>
      </w:r>
    </w:p>
    <w:p>
      <w:pPr>
        <w:pStyle w:val="ListParagraph"/>
        <w:numPr>
          <w:ilvl w:val="0"/>
          <w:numId w:val="2"/>
        </w:numPr>
        <w:spacing w:after="90"/>
      </w:pPr>
      <w:r>
        <w:rPr>
          <w:sz w:val="21"/>
          <w:szCs w:val="21"/>
        </w:rPr>
        <w:t xml:space="preserve">Whether a dedicated DEP permit pathway exists for harvested rainwater serving fertigation, toilet flushing or fire reserve, beyond plumbing code, the potable source exclusion, and earth disturbance rules.</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3. Status and deadlines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500"/>
        <w:gridCol w:w="1400"/>
        <w:gridCol w:w="1600"/>
        <w:gridCol w:w="3860"/>
      </w:tblGrid>
      <w:tr>
        <w:trPr>
          <w:tblHeader/>
        </w:trPr>
        <w:tc>
          <w:tcPr>
            <w:tcW w:type="dxa" w:w="2500"/>
            <w:shd w:fill="F2F2F2" w:color="auto" w:val="clear"/>
            <w:tcMar>
              <w:top w:type="dxa" w:w="80"/>
              <w:left w:type="dxa" w:w="110"/>
              <w:bottom w:type="dxa" w:w="80"/>
              <w:right w:type="dxa" w:w="110"/>
            </w:tcMar>
          </w:tcPr>
          <w:p>
            <w:r>
              <w:rPr>
                <w:b/>
                <w:bCs/>
                <w:sz w:val="18"/>
                <w:szCs w:val="18"/>
              </w:rPr>
              <w:t xml:space="preserve">Instrument</w:t>
            </w:r>
          </w:p>
        </w:tc>
        <w:tc>
          <w:tcPr>
            <w:tcW w:type="dxa" w:w="1400"/>
            <w:shd w:fill="F2F2F2" w:color="auto" w:val="clear"/>
            <w:tcMar>
              <w:top w:type="dxa" w:w="80"/>
              <w:left w:type="dxa" w:w="110"/>
              <w:bottom w:type="dxa" w:w="80"/>
              <w:right w:type="dxa" w:w="110"/>
            </w:tcMar>
          </w:tcPr>
          <w:p>
            <w:r>
              <w:rPr>
                <w:b/>
                <w:bCs/>
                <w:sz w:val="18"/>
                <w:szCs w:val="18"/>
              </w:rPr>
              <w:t xml:space="preserve">Type</w:t>
            </w:r>
          </w:p>
        </w:tc>
        <w:tc>
          <w:tcPr>
            <w:tcW w:type="dxa" w:w="1600"/>
            <w:shd w:fill="F2F2F2" w:color="auto" w:val="clear"/>
            <w:tcMar>
              <w:top w:type="dxa" w:w="80"/>
              <w:left w:type="dxa" w:w="110"/>
              <w:bottom w:type="dxa" w:w="80"/>
              <w:right w:type="dxa" w:w="110"/>
            </w:tcMar>
          </w:tcPr>
          <w:p>
            <w:r>
              <w:rPr>
                <w:b/>
                <w:bCs/>
                <w:sz w:val="18"/>
                <w:szCs w:val="18"/>
              </w:rPr>
              <w:t xml:space="preserve">Deadline</w:t>
            </w:r>
          </w:p>
        </w:tc>
        <w:tc>
          <w:tcPr>
            <w:tcW w:type="dxa" w:w="3860"/>
            <w:shd w:fill="F2F2F2" w:color="auto" w:val="clear"/>
            <w:tcMar>
              <w:top w:type="dxa" w:w="80"/>
              <w:left w:type="dxa" w:w="110"/>
              <w:bottom w:type="dxa" w:w="80"/>
              <w:right w:type="dxa" w:w="110"/>
            </w:tcMar>
          </w:tcPr>
          <w:p>
            <w:r>
              <w:rPr>
                <w:b/>
                <w:bCs/>
                <w:sz w:val="18"/>
                <w:szCs w:val="18"/>
              </w:rPr>
              <w:t xml:space="preserve">Status</w:t>
            </w:r>
          </w:p>
        </w:tc>
      </w:tr>
      <w:tr>
        <w:trPr>
          <w:tblHeader w:val="false"/>
        </w:trPr>
        <w:tc>
          <w:tcPr>
            <w:tcW w:type="dxa" w:w="2500"/>
            <w:tcMar>
              <w:top w:type="dxa" w:w="80"/>
              <w:left w:type="dxa" w:w="110"/>
              <w:bottom w:type="dxa" w:w="80"/>
              <w:right w:type="dxa" w:w="110"/>
            </w:tcMar>
          </w:tcPr>
          <w:p>
            <w:r>
              <w:rPr>
                <w:sz w:val="18"/>
                <w:szCs w:val="18"/>
              </w:rPr>
              <w:t xml:space="preserve">RISE PA small scale, Round 4</w:t>
            </w:r>
          </w:p>
        </w:tc>
        <w:tc>
          <w:tcPr>
            <w:tcW w:type="dxa" w:w="1400"/>
            <w:tcMar>
              <w:top w:type="dxa" w:w="80"/>
              <w:left w:type="dxa" w:w="110"/>
              <w:bottom w:type="dxa" w:w="80"/>
              <w:right w:type="dxa" w:w="110"/>
            </w:tcMar>
          </w:tcPr>
          <w:p>
            <w:r>
              <w:rPr>
                <w:sz w:val="18"/>
                <w:szCs w:val="18"/>
              </w:rPr>
              <w:t xml:space="preserve">Grant</w:t>
            </w:r>
          </w:p>
        </w:tc>
        <w:tc>
          <w:tcPr>
            <w:tcW w:type="dxa" w:w="1600"/>
            <w:tcMar>
              <w:top w:type="dxa" w:w="80"/>
              <w:left w:type="dxa" w:w="110"/>
              <w:bottom w:type="dxa" w:w="80"/>
              <w:right w:type="dxa" w:w="110"/>
            </w:tcMar>
          </w:tcPr>
          <w:p>
            <w:r>
              <w:rPr>
                <w:sz w:val="18"/>
                <w:szCs w:val="18"/>
              </w:rPr>
              <w:t xml:space="preserve">15 or 17 Aug 2026</w:t>
            </w:r>
          </w:p>
        </w:tc>
        <w:tc>
          <w:tcPr>
            <w:tcW w:type="dxa" w:w="3860"/>
            <w:tcMar>
              <w:top w:type="dxa" w:w="80"/>
              <w:left w:type="dxa" w:w="110"/>
              <w:bottom w:type="dxa" w:w="80"/>
              <w:right w:type="dxa" w:w="110"/>
            </w:tcMar>
          </w:tcPr>
          <w:p>
            <w:r>
              <w:rPr>
                <w:sz w:val="18"/>
                <w:szCs w:val="18"/>
              </w:rPr>
              <w:t xml:space="preserve">OPEN. Conflicting dates between DEP and PennTAP</w:t>
            </w:r>
          </w:p>
        </w:tc>
      </w:tr>
      <w:tr>
        <w:trPr>
          <w:tblHeader w:val="false"/>
        </w:trPr>
        <w:tc>
          <w:tcPr>
            <w:tcW w:type="dxa" w:w="2500"/>
            <w:tcMar>
              <w:top w:type="dxa" w:w="80"/>
              <w:left w:type="dxa" w:w="110"/>
              <w:bottom w:type="dxa" w:w="80"/>
              <w:right w:type="dxa" w:w="110"/>
            </w:tcMar>
          </w:tcPr>
          <w:p>
            <w:r>
              <w:rPr>
                <w:sz w:val="18"/>
                <w:szCs w:val="18"/>
              </w:rPr>
              <w:t xml:space="preserve">RISE PA medium and large, Round 2</w:t>
            </w:r>
          </w:p>
        </w:tc>
        <w:tc>
          <w:tcPr>
            <w:tcW w:type="dxa" w:w="1400"/>
            <w:tcMar>
              <w:top w:type="dxa" w:w="80"/>
              <w:left w:type="dxa" w:w="110"/>
              <w:bottom w:type="dxa" w:w="80"/>
              <w:right w:type="dxa" w:w="110"/>
            </w:tcMar>
          </w:tcPr>
          <w:p>
            <w:r>
              <w:rPr>
                <w:sz w:val="18"/>
                <w:szCs w:val="18"/>
              </w:rPr>
              <w:t xml:space="preserve">Grant</w:t>
            </w:r>
          </w:p>
        </w:tc>
        <w:tc>
          <w:tcPr>
            <w:tcW w:type="dxa" w:w="1600"/>
            <w:tcMar>
              <w:top w:type="dxa" w:w="80"/>
              <w:left w:type="dxa" w:w="110"/>
              <w:bottom w:type="dxa" w:w="80"/>
              <w:right w:type="dxa" w:w="110"/>
            </w:tcMar>
          </w:tcPr>
          <w:p>
            <w:r>
              <w:rPr>
                <w:sz w:val="18"/>
                <w:szCs w:val="18"/>
              </w:rPr>
              <w:t xml:space="preserve">31 Jul 2026</w:t>
            </w:r>
          </w:p>
        </w:tc>
        <w:tc>
          <w:tcPr>
            <w:tcW w:type="dxa" w:w="3860"/>
            <w:tcMar>
              <w:top w:type="dxa" w:w="80"/>
              <w:left w:type="dxa" w:w="110"/>
              <w:bottom w:type="dxa" w:w="80"/>
              <w:right w:type="dxa" w:w="110"/>
            </w:tcMar>
          </w:tcPr>
          <w:p>
            <w:r>
              <w:rPr>
                <w:sz w:val="18"/>
                <w:szCs w:val="18"/>
              </w:rPr>
              <w:t xml:space="preserve">CLOSING. 52 million USD in the round</w:t>
            </w:r>
          </w:p>
        </w:tc>
      </w:tr>
      <w:tr>
        <w:trPr>
          <w:tblHeader w:val="false"/>
        </w:trPr>
        <w:tc>
          <w:tcPr>
            <w:tcW w:type="dxa" w:w="2500"/>
            <w:tcMar>
              <w:top w:type="dxa" w:w="80"/>
              <w:left w:type="dxa" w:w="110"/>
              <w:bottom w:type="dxa" w:w="80"/>
              <w:right w:type="dxa" w:w="110"/>
            </w:tcMar>
          </w:tcPr>
          <w:p>
            <w:r>
              <w:rPr>
                <w:sz w:val="18"/>
                <w:szCs w:val="18"/>
              </w:rPr>
              <w:t xml:space="preserve">C-PACE</w:t>
            </w:r>
          </w:p>
        </w:tc>
        <w:tc>
          <w:tcPr>
            <w:tcW w:type="dxa" w:w="1400"/>
            <w:tcMar>
              <w:top w:type="dxa" w:w="80"/>
              <w:left w:type="dxa" w:w="110"/>
              <w:bottom w:type="dxa" w:w="80"/>
              <w:right w:type="dxa" w:w="110"/>
            </w:tcMar>
          </w:tcPr>
          <w:p>
            <w:r>
              <w:rPr>
                <w:sz w:val="18"/>
                <w:szCs w:val="18"/>
              </w:rPr>
              <w:t xml:space="preserve">Assessment finance</w:t>
            </w:r>
          </w:p>
        </w:tc>
        <w:tc>
          <w:tcPr>
            <w:tcW w:type="dxa" w:w="1600"/>
            <w:tcMar>
              <w:top w:type="dxa" w:w="80"/>
              <w:left w:type="dxa" w:w="110"/>
              <w:bottom w:type="dxa" w:w="80"/>
              <w:right w:type="dxa" w:w="110"/>
            </w:tcMar>
          </w:tcPr>
          <w:p>
            <w:r>
              <w:rPr>
                <w:sz w:val="18"/>
                <w:szCs w:val="18"/>
              </w:rPr>
              <w:t xml:space="preserve">Rolling</w:t>
            </w:r>
          </w:p>
        </w:tc>
        <w:tc>
          <w:tcPr>
            <w:tcW w:type="dxa" w:w="3860"/>
            <w:tcMar>
              <w:top w:type="dxa" w:w="80"/>
              <w:left w:type="dxa" w:w="110"/>
              <w:bottom w:type="dxa" w:w="80"/>
              <w:right w:type="dxa" w:w="110"/>
            </w:tcMar>
          </w:tcPr>
          <w:p>
            <w:r>
              <w:rPr>
                <w:sz w:val="18"/>
                <w:szCs w:val="18"/>
              </w:rPr>
              <w:t xml:space="preserve">OPEN in Northampton, Lehigh, Philadelphia, Allegheny and 21 other counties</w:t>
            </w:r>
          </w:p>
        </w:tc>
      </w:tr>
      <w:tr>
        <w:trPr>
          <w:tblHeader w:val="false"/>
        </w:trPr>
        <w:tc>
          <w:tcPr>
            <w:tcW w:type="dxa" w:w="2500"/>
            <w:tcMar>
              <w:top w:type="dxa" w:w="80"/>
              <w:left w:type="dxa" w:w="110"/>
              <w:bottom w:type="dxa" w:w="80"/>
              <w:right w:type="dxa" w:w="110"/>
            </w:tcMar>
          </w:tcPr>
          <w:p>
            <w:r>
              <w:rPr>
                <w:sz w:val="18"/>
                <w:szCs w:val="18"/>
              </w:rPr>
              <w:t xml:space="preserve">PENNVEST</w:t>
            </w:r>
          </w:p>
        </w:tc>
        <w:tc>
          <w:tcPr>
            <w:tcW w:type="dxa" w:w="1400"/>
            <w:tcMar>
              <w:top w:type="dxa" w:w="80"/>
              <w:left w:type="dxa" w:w="110"/>
              <w:bottom w:type="dxa" w:w="80"/>
              <w:right w:type="dxa" w:w="110"/>
            </w:tcMar>
          </w:tcPr>
          <w:p>
            <w:r>
              <w:rPr>
                <w:sz w:val="18"/>
                <w:szCs w:val="18"/>
              </w:rPr>
              <w:t xml:space="preserve">Loan, some grant</w:t>
            </w:r>
          </w:p>
        </w:tc>
        <w:tc>
          <w:tcPr>
            <w:tcW w:type="dxa" w:w="1600"/>
            <w:tcMar>
              <w:top w:type="dxa" w:w="80"/>
              <w:left w:type="dxa" w:w="110"/>
              <w:bottom w:type="dxa" w:w="80"/>
              <w:right w:type="dxa" w:w="110"/>
            </w:tcMar>
          </w:tcPr>
          <w:p>
            <w:r>
              <w:rPr>
                <w:sz w:val="18"/>
                <w:szCs w:val="18"/>
              </w:rPr>
              <w:t xml:space="preserve">Rolling</w:t>
            </w:r>
          </w:p>
        </w:tc>
        <w:tc>
          <w:tcPr>
            <w:tcW w:type="dxa" w:w="3860"/>
            <w:tcMar>
              <w:top w:type="dxa" w:w="80"/>
              <w:left w:type="dxa" w:w="110"/>
              <w:bottom w:type="dxa" w:w="80"/>
              <w:right w:type="dxa" w:w="110"/>
            </w:tcMar>
          </w:tcPr>
          <w:p>
            <w:r>
              <w:rPr>
                <w:sz w:val="18"/>
                <w:szCs w:val="18"/>
              </w:rPr>
              <w:t xml:space="preserve">OPEN. Private owners and operators eligible</w:t>
            </w:r>
          </w:p>
        </w:tc>
      </w:tr>
      <w:tr>
        <w:trPr>
          <w:tblHeader w:val="false"/>
        </w:trPr>
        <w:tc>
          <w:tcPr>
            <w:tcW w:type="dxa" w:w="2500"/>
            <w:tcMar>
              <w:top w:type="dxa" w:w="80"/>
              <w:left w:type="dxa" w:w="110"/>
              <w:bottom w:type="dxa" w:w="80"/>
              <w:right w:type="dxa" w:w="110"/>
            </w:tcMar>
          </w:tcPr>
          <w:p>
            <w:r>
              <w:rPr>
                <w:sz w:val="18"/>
                <w:szCs w:val="18"/>
              </w:rPr>
              <w:t xml:space="preserve">Act 129 Phase V</w:t>
            </w:r>
          </w:p>
        </w:tc>
        <w:tc>
          <w:tcPr>
            <w:tcW w:type="dxa" w:w="1400"/>
            <w:tcMar>
              <w:top w:type="dxa" w:w="80"/>
              <w:left w:type="dxa" w:w="110"/>
              <w:bottom w:type="dxa" w:w="80"/>
              <w:right w:type="dxa" w:w="110"/>
            </w:tcMar>
          </w:tcPr>
          <w:p>
            <w:r>
              <w:rPr>
                <w:sz w:val="18"/>
                <w:szCs w:val="18"/>
              </w:rPr>
              <w:t xml:space="preserve">Utility incentive</w:t>
            </w:r>
          </w:p>
        </w:tc>
        <w:tc>
          <w:tcPr>
            <w:tcW w:type="dxa" w:w="1600"/>
            <w:tcMar>
              <w:top w:type="dxa" w:w="80"/>
              <w:left w:type="dxa" w:w="110"/>
              <w:bottom w:type="dxa" w:w="80"/>
              <w:right w:type="dxa" w:w="110"/>
            </w:tcMar>
          </w:tcPr>
          <w:p>
            <w:r>
              <w:rPr>
                <w:sz w:val="18"/>
                <w:szCs w:val="18"/>
              </w:rPr>
              <w:t xml:space="preserve">Phase runs to 31 May 2031</w:t>
            </w:r>
          </w:p>
        </w:tc>
        <w:tc>
          <w:tcPr>
            <w:tcW w:type="dxa" w:w="3860"/>
            <w:tcMar>
              <w:top w:type="dxa" w:w="80"/>
              <w:left w:type="dxa" w:w="110"/>
              <w:bottom w:type="dxa" w:w="80"/>
              <w:right w:type="dxa" w:w="110"/>
            </w:tcMar>
          </w:tcPr>
          <w:p>
            <w:r>
              <w:rPr>
                <w:sz w:val="18"/>
                <w:szCs w:val="18"/>
              </w:rPr>
              <w:t xml:space="preserve">OPEN from 1 Jun 2026</w:t>
            </w:r>
          </w:p>
        </w:tc>
      </w:tr>
      <w:tr>
        <w:trPr>
          <w:tblHeader w:val="false"/>
        </w:trPr>
        <w:tc>
          <w:tcPr>
            <w:tcW w:type="dxa" w:w="2500"/>
            <w:tcMar>
              <w:top w:type="dxa" w:w="80"/>
              <w:left w:type="dxa" w:w="110"/>
              <w:bottom w:type="dxa" w:w="80"/>
              <w:right w:type="dxa" w:w="110"/>
            </w:tcMar>
          </w:tcPr>
          <w:p>
            <w:r>
              <w:rPr>
                <w:sz w:val="18"/>
                <w:szCs w:val="18"/>
              </w:rPr>
              <w:t xml:space="preserve">PA SITES</w:t>
            </w:r>
          </w:p>
        </w:tc>
        <w:tc>
          <w:tcPr>
            <w:tcW w:type="dxa" w:w="1400"/>
            <w:tcMar>
              <w:top w:type="dxa" w:w="80"/>
              <w:left w:type="dxa" w:w="110"/>
              <w:bottom w:type="dxa" w:w="80"/>
              <w:right w:type="dxa" w:w="110"/>
            </w:tcMar>
          </w:tcPr>
          <w:p>
            <w:r>
              <w:rPr>
                <w:sz w:val="18"/>
                <w:szCs w:val="18"/>
              </w:rPr>
              <w:t xml:space="preserve">Grant and loan</w:t>
            </w:r>
          </w:p>
        </w:tc>
        <w:tc>
          <w:tcPr>
            <w:tcW w:type="dxa" w:w="1600"/>
            <w:tcMar>
              <w:top w:type="dxa" w:w="80"/>
              <w:left w:type="dxa" w:w="110"/>
              <w:bottom w:type="dxa" w:w="80"/>
              <w:right w:type="dxa" w:w="110"/>
            </w:tcMar>
          </w:tcPr>
          <w:p>
            <w:r>
              <w:rPr>
                <w:sz w:val="18"/>
                <w:szCs w:val="18"/>
              </w:rPr>
              <w:t xml:space="preserve">Rolling, quarterly approval</w:t>
            </w:r>
          </w:p>
        </w:tc>
        <w:tc>
          <w:tcPr>
            <w:tcW w:type="dxa" w:w="3860"/>
            <w:tcMar>
              <w:top w:type="dxa" w:w="80"/>
              <w:left w:type="dxa" w:w="110"/>
              <w:bottom w:type="dxa" w:w="80"/>
              <w:right w:type="dxa" w:w="110"/>
            </w:tcMar>
          </w:tcPr>
          <w:p>
            <w:r>
              <w:rPr>
                <w:sz w:val="18"/>
                <w:szCs w:val="18"/>
              </w:rPr>
              <w:t xml:space="preserve">OPEN. Applicant is a municipality, authority or economic development organisation</w:t>
            </w:r>
          </w:p>
        </w:tc>
      </w:tr>
      <w:tr>
        <w:trPr>
          <w:tblHeader w:val="false"/>
        </w:trPr>
        <w:tc>
          <w:tcPr>
            <w:tcW w:type="dxa" w:w="2500"/>
            <w:tcMar>
              <w:top w:type="dxa" w:w="80"/>
              <w:left w:type="dxa" w:w="110"/>
              <w:bottom w:type="dxa" w:w="80"/>
              <w:right w:type="dxa" w:w="110"/>
            </w:tcMar>
          </w:tcPr>
          <w:p>
            <w:r>
              <w:rPr>
                <w:sz w:val="18"/>
                <w:szCs w:val="18"/>
              </w:rPr>
              <w:t xml:space="preserve">PIDA</w:t>
            </w:r>
          </w:p>
        </w:tc>
        <w:tc>
          <w:tcPr>
            <w:tcW w:type="dxa" w:w="1400"/>
            <w:tcMar>
              <w:top w:type="dxa" w:w="80"/>
              <w:left w:type="dxa" w:w="110"/>
              <w:bottom w:type="dxa" w:w="80"/>
              <w:right w:type="dxa" w:w="110"/>
            </w:tcMar>
          </w:tcPr>
          <w:p>
            <w:r>
              <w:rPr>
                <w:sz w:val="18"/>
                <w:szCs w:val="18"/>
              </w:rPr>
              <w:t xml:space="preserve">Loan</w:t>
            </w:r>
          </w:p>
        </w:tc>
        <w:tc>
          <w:tcPr>
            <w:tcW w:type="dxa" w:w="1600"/>
            <w:tcMar>
              <w:top w:type="dxa" w:w="80"/>
              <w:left w:type="dxa" w:w="110"/>
              <w:bottom w:type="dxa" w:w="80"/>
              <w:right w:type="dxa" w:w="110"/>
            </w:tcMar>
          </w:tcPr>
          <w:p>
            <w:r>
              <w:rPr>
                <w:sz w:val="18"/>
                <w:szCs w:val="18"/>
              </w:rPr>
              <w:t xml:space="preserve">Rolling</w:t>
            </w:r>
          </w:p>
        </w:tc>
        <w:tc>
          <w:tcPr>
            <w:tcW w:type="dxa" w:w="3860"/>
            <w:tcMar>
              <w:top w:type="dxa" w:w="80"/>
              <w:left w:type="dxa" w:w="110"/>
              <w:bottom w:type="dxa" w:w="80"/>
              <w:right w:type="dxa" w:w="110"/>
            </w:tcMar>
          </w:tcPr>
          <w:p>
            <w:r>
              <w:rPr>
                <w:sz w:val="18"/>
                <w:szCs w:val="18"/>
              </w:rPr>
              <w:t xml:space="preserve">OPEN via a certified economic development organisation</w:t>
            </w:r>
          </w:p>
        </w:tc>
      </w:tr>
      <w:tr>
        <w:trPr>
          <w:tblHeader w:val="false"/>
        </w:trPr>
        <w:tc>
          <w:tcPr>
            <w:tcW w:type="dxa" w:w="2500"/>
            <w:tcMar>
              <w:top w:type="dxa" w:w="80"/>
              <w:left w:type="dxa" w:w="110"/>
              <w:bottom w:type="dxa" w:w="80"/>
              <w:right w:type="dxa" w:w="110"/>
            </w:tcMar>
          </w:tcPr>
          <w:p>
            <w:r>
              <w:rPr>
                <w:sz w:val="18"/>
                <w:szCs w:val="18"/>
              </w:rPr>
              <w:t xml:space="preserve">Data center sales and use tax exemption</w:t>
            </w:r>
          </w:p>
        </w:tc>
        <w:tc>
          <w:tcPr>
            <w:tcW w:type="dxa" w:w="1400"/>
            <w:tcMar>
              <w:top w:type="dxa" w:w="80"/>
              <w:left w:type="dxa" w:w="110"/>
              <w:bottom w:type="dxa" w:w="80"/>
              <w:right w:type="dxa" w:w="110"/>
            </w:tcMar>
          </w:tcPr>
          <w:p>
            <w:r>
              <w:rPr>
                <w:sz w:val="18"/>
                <w:szCs w:val="18"/>
              </w:rPr>
              <w:t xml:space="preserve">Tax</w:t>
            </w:r>
          </w:p>
        </w:tc>
        <w:tc>
          <w:tcPr>
            <w:tcW w:type="dxa" w:w="1600"/>
            <w:tcMar>
              <w:top w:type="dxa" w:w="80"/>
              <w:left w:type="dxa" w:w="110"/>
              <w:bottom w:type="dxa" w:w="80"/>
              <w:right w:type="dxa" w:w="110"/>
            </w:tcMar>
          </w:tcPr>
          <w:p>
            <w:r>
              <w:rPr>
                <w:sz w:val="18"/>
                <w:szCs w:val="18"/>
              </w:rPr>
              <w:t xml:space="preserve">Rolling certification</w:t>
            </w:r>
          </w:p>
        </w:tc>
        <w:tc>
          <w:tcPr>
            <w:tcW w:type="dxa" w:w="3860"/>
            <w:tcMar>
              <w:top w:type="dxa" w:w="80"/>
              <w:left w:type="dxa" w:w="110"/>
              <w:bottom w:type="dxa" w:w="80"/>
              <w:right w:type="dxa" w:w="110"/>
            </w:tcMar>
          </w:tcPr>
          <w:p>
            <w:r>
              <w:rPr>
                <w:sz w:val="18"/>
                <w:szCs w:val="18"/>
              </w:rPr>
              <w:t xml:space="preserve">OPEN. Repeal bill HB 2198 in Senate Finance</w:t>
            </w:r>
          </w:p>
        </w:tc>
      </w:tr>
      <w:tr>
        <w:trPr>
          <w:tblHeader w:val="false"/>
        </w:trPr>
        <w:tc>
          <w:tcPr>
            <w:tcW w:type="dxa" w:w="2500"/>
            <w:tcMar>
              <w:top w:type="dxa" w:w="80"/>
              <w:left w:type="dxa" w:w="110"/>
              <w:bottom w:type="dxa" w:w="80"/>
              <w:right w:type="dxa" w:w="110"/>
            </w:tcMar>
          </w:tcPr>
          <w:p>
            <w:r>
              <w:rPr>
                <w:sz w:val="18"/>
                <w:szCs w:val="18"/>
              </w:rPr>
              <w:t xml:space="preserve">Keystone Opportunity Zone</w:t>
            </w:r>
          </w:p>
        </w:tc>
        <w:tc>
          <w:tcPr>
            <w:tcW w:type="dxa" w:w="1400"/>
            <w:tcMar>
              <w:top w:type="dxa" w:w="80"/>
              <w:left w:type="dxa" w:w="110"/>
              <w:bottom w:type="dxa" w:w="80"/>
              <w:right w:type="dxa" w:w="110"/>
            </w:tcMar>
          </w:tcPr>
          <w:p>
            <w:r>
              <w:rPr>
                <w:sz w:val="18"/>
                <w:szCs w:val="18"/>
              </w:rPr>
              <w:t xml:space="preserve">Tax</w:t>
            </w:r>
          </w:p>
        </w:tc>
        <w:tc>
          <w:tcPr>
            <w:tcW w:type="dxa" w:w="1600"/>
            <w:tcMar>
              <w:top w:type="dxa" w:w="80"/>
              <w:left w:type="dxa" w:w="110"/>
              <w:bottom w:type="dxa" w:w="80"/>
              <w:right w:type="dxa" w:w="110"/>
            </w:tcMar>
          </w:tcPr>
          <w:p>
            <w:r>
              <w:rPr>
                <w:sz w:val="18"/>
                <w:szCs w:val="18"/>
              </w:rPr>
              <w:t xml:space="preserve">Annual, 31 Dec for benefit year</w:t>
            </w:r>
          </w:p>
        </w:tc>
        <w:tc>
          <w:tcPr>
            <w:tcW w:type="dxa" w:w="3860"/>
            <w:tcMar>
              <w:top w:type="dxa" w:w="80"/>
              <w:left w:type="dxa" w:w="110"/>
              <w:bottom w:type="dxa" w:w="80"/>
              <w:right w:type="dxa" w:w="110"/>
            </w:tcMar>
          </w:tcPr>
          <w:p>
            <w:r>
              <w:rPr>
                <w:sz w:val="18"/>
                <w:szCs w:val="18"/>
              </w:rPr>
              <w:t xml:space="preserve">Not accepting new parcel designations</w:t>
            </w:r>
          </w:p>
        </w:tc>
      </w:tr>
      <w:tr>
        <w:trPr>
          <w:tblHeader w:val="false"/>
        </w:trPr>
        <w:tc>
          <w:tcPr>
            <w:tcW w:type="dxa" w:w="2500"/>
            <w:tcMar>
              <w:top w:type="dxa" w:w="80"/>
              <w:left w:type="dxa" w:w="110"/>
              <w:bottom w:type="dxa" w:w="80"/>
              <w:right w:type="dxa" w:w="110"/>
            </w:tcMar>
          </w:tcPr>
          <w:p>
            <w:r>
              <w:rPr>
                <w:sz w:val="18"/>
                <w:szCs w:val="18"/>
              </w:rPr>
              <w:t xml:space="preserve">Agricultural Innovation Grant</w:t>
            </w:r>
          </w:p>
        </w:tc>
        <w:tc>
          <w:tcPr>
            <w:tcW w:type="dxa" w:w="1400"/>
            <w:tcMar>
              <w:top w:type="dxa" w:w="80"/>
              <w:left w:type="dxa" w:w="110"/>
              <w:bottom w:type="dxa" w:w="80"/>
              <w:right w:type="dxa" w:w="110"/>
            </w:tcMar>
          </w:tcPr>
          <w:p>
            <w:r>
              <w:rPr>
                <w:sz w:val="18"/>
                <w:szCs w:val="18"/>
              </w:rPr>
              <w:t xml:space="preserve">Grant</w:t>
            </w:r>
          </w:p>
        </w:tc>
        <w:tc>
          <w:tcPr>
            <w:tcW w:type="dxa" w:w="1600"/>
            <w:tcMar>
              <w:top w:type="dxa" w:w="80"/>
              <w:left w:type="dxa" w:w="110"/>
              <w:bottom w:type="dxa" w:w="80"/>
              <w:right w:type="dxa" w:w="110"/>
            </w:tcMar>
          </w:tcPr>
          <w:p>
            <w:r>
              <w:rPr>
                <w:sz w:val="18"/>
                <w:szCs w:val="18"/>
              </w:rPr>
              <w:t xml:space="preserve">Round dependent</w:t>
            </w:r>
          </w:p>
        </w:tc>
        <w:tc>
          <w:tcPr>
            <w:tcW w:type="dxa" w:w="3860"/>
            <w:tcMar>
              <w:top w:type="dxa" w:w="80"/>
              <w:left w:type="dxa" w:w="110"/>
              <w:bottom w:type="dxa" w:w="80"/>
              <w:right w:type="dxa" w:w="110"/>
            </w:tcMar>
          </w:tcPr>
          <w:p>
            <w:r>
              <w:rPr>
                <w:sz w:val="18"/>
                <w:szCs w:val="18"/>
              </w:rPr>
              <w:t xml:space="preserve">Programme funded at 10 million USD in the 2025 to 2026 budget</w:t>
            </w:r>
          </w:p>
        </w:tc>
      </w:tr>
      <w:tr>
        <w:trPr>
          <w:tblHeader w:val="false"/>
        </w:trPr>
        <w:tc>
          <w:tcPr>
            <w:tcW w:type="dxa" w:w="2500"/>
            <w:tcMar>
              <w:top w:type="dxa" w:w="80"/>
              <w:left w:type="dxa" w:w="110"/>
              <w:bottom w:type="dxa" w:w="80"/>
              <w:right w:type="dxa" w:w="110"/>
            </w:tcMar>
          </w:tcPr>
          <w:p>
            <w:r>
              <w:rPr>
                <w:sz w:val="18"/>
                <w:szCs w:val="18"/>
              </w:rPr>
              <w:t xml:space="preserve">Fresh Food Financing Initiative</w:t>
            </w:r>
          </w:p>
        </w:tc>
        <w:tc>
          <w:tcPr>
            <w:tcW w:type="dxa" w:w="1400"/>
            <w:tcMar>
              <w:top w:type="dxa" w:w="80"/>
              <w:left w:type="dxa" w:w="110"/>
              <w:bottom w:type="dxa" w:w="80"/>
              <w:right w:type="dxa" w:w="110"/>
            </w:tcMar>
          </w:tcPr>
          <w:p>
            <w:r>
              <w:rPr>
                <w:sz w:val="18"/>
                <w:szCs w:val="18"/>
              </w:rPr>
              <w:t xml:space="preserve">Grant</w:t>
            </w:r>
          </w:p>
        </w:tc>
        <w:tc>
          <w:tcPr>
            <w:tcW w:type="dxa" w:w="1600"/>
            <w:tcMar>
              <w:top w:type="dxa" w:w="80"/>
              <w:left w:type="dxa" w:w="110"/>
              <w:bottom w:type="dxa" w:w="80"/>
              <w:right w:type="dxa" w:w="110"/>
            </w:tcMar>
          </w:tcPr>
          <w:p>
            <w:r>
              <w:rPr>
                <w:sz w:val="18"/>
                <w:szCs w:val="18"/>
              </w:rPr>
              <w:t xml:space="preserve">20 May 2026</w:t>
            </w:r>
          </w:p>
        </w:tc>
        <w:tc>
          <w:tcPr>
            <w:tcW w:type="dxa" w:w="3860"/>
            <w:tcMar>
              <w:top w:type="dxa" w:w="80"/>
              <w:left w:type="dxa" w:w="110"/>
              <w:bottom w:type="dxa" w:w="80"/>
              <w:right w:type="dxa" w:w="110"/>
            </w:tcMar>
          </w:tcPr>
          <w:p>
            <w:r>
              <w:rPr>
                <w:sz w:val="18"/>
                <w:szCs w:val="18"/>
              </w:rPr>
              <w:t xml:space="preserve">CLOSED for the cited round</w:t>
            </w:r>
          </w:p>
        </w:tc>
      </w:tr>
      <w:tr>
        <w:trPr>
          <w:tblHeader w:val="false"/>
        </w:trPr>
        <w:tc>
          <w:tcPr>
            <w:tcW w:type="dxa" w:w="2500"/>
            <w:tcMar>
              <w:top w:type="dxa" w:w="80"/>
              <w:left w:type="dxa" w:w="110"/>
              <w:bottom w:type="dxa" w:w="80"/>
              <w:right w:type="dxa" w:w="110"/>
            </w:tcMar>
          </w:tcPr>
          <w:p>
            <w:r>
              <w:rPr>
                <w:sz w:val="18"/>
                <w:szCs w:val="18"/>
              </w:rPr>
              <w:t xml:space="preserve">RACP</w:t>
            </w:r>
          </w:p>
        </w:tc>
        <w:tc>
          <w:tcPr>
            <w:tcW w:type="dxa" w:w="1400"/>
            <w:tcMar>
              <w:top w:type="dxa" w:w="80"/>
              <w:left w:type="dxa" w:w="110"/>
              <w:bottom w:type="dxa" w:w="80"/>
              <w:right w:type="dxa" w:w="110"/>
            </w:tcMar>
          </w:tcPr>
          <w:p>
            <w:r>
              <w:rPr>
                <w:sz w:val="18"/>
                <w:szCs w:val="18"/>
              </w:rPr>
              <w:t xml:space="preserve">Grant</w:t>
            </w:r>
          </w:p>
        </w:tc>
        <w:tc>
          <w:tcPr>
            <w:tcW w:type="dxa" w:w="1600"/>
            <w:tcMar>
              <w:top w:type="dxa" w:w="80"/>
              <w:left w:type="dxa" w:w="110"/>
              <w:bottom w:type="dxa" w:w="80"/>
              <w:right w:type="dxa" w:w="110"/>
            </w:tcMar>
          </w:tcPr>
          <w:p>
            <w:r>
              <w:rPr>
                <w:sz w:val="18"/>
                <w:szCs w:val="18"/>
              </w:rPr>
              <w:t xml:space="preserve">23 Sep 2025</w:t>
            </w:r>
          </w:p>
        </w:tc>
        <w:tc>
          <w:tcPr>
            <w:tcW w:type="dxa" w:w="3860"/>
            <w:tcMar>
              <w:top w:type="dxa" w:w="80"/>
              <w:left w:type="dxa" w:w="110"/>
              <w:bottom w:type="dxa" w:w="80"/>
              <w:right w:type="dxa" w:w="110"/>
            </w:tcMar>
          </w:tcPr>
          <w:p>
            <w:r>
              <w:rPr>
                <w:sz w:val="18"/>
                <w:szCs w:val="18"/>
              </w:rPr>
              <w:t xml:space="preserve">CLOSED. Further releases from the 2025 round announced 16 Jul 2026</w:t>
            </w:r>
          </w:p>
        </w:tc>
      </w:tr>
      <w:tr>
        <w:trPr>
          <w:tblHeader w:val="false"/>
        </w:trPr>
        <w:tc>
          <w:tcPr>
            <w:tcW w:type="dxa" w:w="2500"/>
            <w:tcMar>
              <w:top w:type="dxa" w:w="80"/>
              <w:left w:type="dxa" w:w="110"/>
              <w:bottom w:type="dxa" w:w="80"/>
              <w:right w:type="dxa" w:w="110"/>
            </w:tcMar>
          </w:tcPr>
          <w:p>
            <w:r>
              <w:rPr>
                <w:sz w:val="18"/>
                <w:szCs w:val="18"/>
              </w:rPr>
              <w:t xml:space="preserve">GESA</w:t>
            </w:r>
          </w:p>
        </w:tc>
        <w:tc>
          <w:tcPr>
            <w:tcW w:type="dxa" w:w="1400"/>
            <w:tcMar>
              <w:top w:type="dxa" w:w="80"/>
              <w:left w:type="dxa" w:w="110"/>
              <w:bottom w:type="dxa" w:w="80"/>
              <w:right w:type="dxa" w:w="110"/>
            </w:tcMar>
          </w:tcPr>
          <w:p>
            <w:r>
              <w:rPr>
                <w:sz w:val="18"/>
                <w:szCs w:val="18"/>
              </w:rPr>
              <w:t xml:space="preserve">Procurement route</w:t>
            </w:r>
          </w:p>
        </w:tc>
        <w:tc>
          <w:tcPr>
            <w:tcW w:type="dxa" w:w="1600"/>
            <w:tcMar>
              <w:top w:type="dxa" w:w="80"/>
              <w:left w:type="dxa" w:w="110"/>
              <w:bottom w:type="dxa" w:w="80"/>
              <w:right w:type="dxa" w:w="110"/>
            </w:tcMar>
          </w:tcPr>
          <w:p>
            <w:r>
              <w:rPr>
                <w:sz w:val="18"/>
                <w:szCs w:val="18"/>
              </w:rPr>
              <w:t xml:space="preserve">No deadline</w:t>
            </w:r>
          </w:p>
        </w:tc>
        <w:tc>
          <w:tcPr>
            <w:tcW w:type="dxa" w:w="3860"/>
            <w:tcMar>
              <w:top w:type="dxa" w:w="80"/>
              <w:left w:type="dxa" w:w="110"/>
              <w:bottom w:type="dxa" w:w="80"/>
              <w:right w:type="dxa" w:w="110"/>
            </w:tcMar>
          </w:tcPr>
          <w:p>
            <w:r>
              <w:rPr>
                <w:sz w:val="18"/>
                <w:szCs w:val="18"/>
              </w:rPr>
              <w:t xml:space="preserve">Public entities only</w:t>
            </w:r>
          </w:p>
        </w:tc>
      </w:tr>
      <w:tr>
        <w:trPr>
          <w:tblHeader w:val="false"/>
        </w:trPr>
        <w:tc>
          <w:tcPr>
            <w:tcW w:type="dxa" w:w="2500"/>
            <w:tcMar>
              <w:top w:type="dxa" w:w="80"/>
              <w:left w:type="dxa" w:w="110"/>
              <w:bottom w:type="dxa" w:w="80"/>
              <w:right w:type="dxa" w:w="110"/>
            </w:tcMar>
          </w:tcPr>
          <w:p>
            <w:r>
              <w:rPr>
                <w:sz w:val="18"/>
                <w:szCs w:val="18"/>
              </w:rPr>
              <w:t xml:space="preserve">USDA REAP</w:t>
            </w:r>
          </w:p>
        </w:tc>
        <w:tc>
          <w:tcPr>
            <w:tcW w:type="dxa" w:w="1400"/>
            <w:tcMar>
              <w:top w:type="dxa" w:w="80"/>
              <w:left w:type="dxa" w:w="110"/>
              <w:bottom w:type="dxa" w:w="80"/>
              <w:right w:type="dxa" w:w="110"/>
            </w:tcMar>
          </w:tcPr>
          <w:p>
            <w:r>
              <w:rPr>
                <w:sz w:val="18"/>
                <w:szCs w:val="18"/>
              </w:rPr>
              <w:t xml:space="preserve">Grant and loan</w:t>
            </w:r>
          </w:p>
        </w:tc>
        <w:tc>
          <w:tcPr>
            <w:tcW w:type="dxa" w:w="1600"/>
            <w:tcMar>
              <w:top w:type="dxa" w:w="80"/>
              <w:left w:type="dxa" w:w="110"/>
              <w:bottom w:type="dxa" w:w="80"/>
              <w:right w:type="dxa" w:w="110"/>
            </w:tcMar>
          </w:tcPr>
          <w:p>
            <w:r>
              <w:rPr>
                <w:sz w:val="18"/>
                <w:szCs w:val="18"/>
              </w:rPr>
              <w:t xml:space="preserve">Rolling federal cycles</w:t>
            </w:r>
          </w:p>
        </w:tc>
        <w:tc>
          <w:tcPr>
            <w:tcW w:type="dxa" w:w="3860"/>
            <w:tcMar>
              <w:top w:type="dxa" w:w="80"/>
              <w:left w:type="dxa" w:w="110"/>
              <w:bottom w:type="dxa" w:w="80"/>
              <w:right w:type="dxa" w:w="110"/>
            </w:tcMar>
          </w:tcPr>
          <w:p>
            <w:r>
              <w:rPr>
                <w:sz w:val="18"/>
                <w:szCs w:val="18"/>
              </w:rPr>
              <w:t xml:space="preserve">Open to rural small businesses and agricultural producers</w:t>
            </w:r>
          </w:p>
        </w:tc>
      </w:tr>
    </w:tbl>
    <w:p>
      <w:pPr>
        <w:spacing w:after="200" w:before="80"/>
      </w:pPr>
      <w:r>
        <w:rPr>
          <w:i/>
          <w:iCs/>
          <w:color w:val="666666"/>
          <w:sz w:val="17"/>
          <w:szCs w:val="17"/>
        </w:rPr>
        <w:t xml:space="preserve">Source: Programme pages and solicitation records as cited by section, read July 2026.</w:t>
      </w:r>
    </w:p>
    <w:p>
      <w:r>
        <w:br w:type="page"/>
      </w:r>
    </w:p>
    <w:p>
      <w:pPr>
        <w:pStyle w:val="Heading1"/>
        <w:spacing w:after="160" w:before="380"/>
      </w:pPr>
      <w:r>
        <w:rPr>
          <w:b/>
          <w:bCs/>
          <w:color w:val="222222"/>
          <w:sz w:val="30"/>
          <w:szCs w:val="30"/>
        </w:rPr>
        <w:t xml:space="preserve">4. The regulatory frame</w:t>
      </w:r>
    </w:p>
    <w:p>
      <w:pPr>
        <w:spacing w:after="140"/>
      </w:pPr>
      <w:r>
        <w:rPr>
          <w:sz w:val="21"/>
          <w:szCs w:val="21"/>
        </w:rPr>
        <w:t xml:space="preserve">Pennsylvania has not enacted a moratorium. Its equivalent instrument is a Public Utility Commission tariff for large loads, plus a legislative package still in progress.</w:t>
      </w:r>
    </w:p>
    <w:p>
      <w:pPr>
        <w:pStyle w:val="Heading2"/>
        <w:spacing w:after="120" w:before="280"/>
      </w:pPr>
      <w:r>
        <w:rPr>
          <w:b/>
          <w:bCs/>
          <w:color w:val="B02020"/>
          <w:sz w:val="24"/>
          <w:szCs w:val="24"/>
        </w:rPr>
        <w:t xml:space="preserve">4.1 The large load model tariff</w:t>
      </w:r>
    </w:p>
    <w:p>
      <w:pPr>
        <w:spacing w:after="140"/>
      </w:pPr>
      <w:r>
        <w:rPr>
          <w:sz w:val="21"/>
          <w:szCs w:val="21"/>
        </w:rPr>
        <w:t xml:space="preserve">In re Interconnection and Tariffs for Large Load Customers, Docket No. M-2025-3054271.</w:t>
      </w:r>
    </w:p>
    <w:p>
      <w:pPr>
        <w:spacing w:after="80" w:before="160"/>
      </w:pPr>
      <w:r>
        <w:rPr>
          <w:b/>
          <w:bCs/>
          <w:sz w:val="21"/>
          <w:szCs w:val="21"/>
        </w:rPr>
        <w:t xml:space="preserve">Procedural history</w:t>
      </w:r>
    </w:p>
    <w:p>
      <w:pPr>
        <w:pStyle w:val="ListParagraph"/>
        <w:numPr>
          <w:ilvl w:val="0"/>
          <w:numId w:val="2"/>
        </w:numPr>
        <w:spacing w:after="90"/>
      </w:pPr>
      <w:r>
        <w:rPr>
          <w:sz w:val="21"/>
          <w:szCs w:val="21"/>
        </w:rPr>
        <w:t xml:space="preserve">Commission motion adopted 27 March 2025.</w:t>
      </w:r>
    </w:p>
    <w:p>
      <w:pPr>
        <w:pStyle w:val="ListParagraph"/>
        <w:numPr>
          <w:ilvl w:val="0"/>
          <w:numId w:val="2"/>
        </w:numPr>
        <w:spacing w:after="90"/>
      </w:pPr>
      <w:r>
        <w:rPr>
          <w:sz w:val="21"/>
          <w:szCs w:val="21"/>
        </w:rPr>
        <w:t xml:space="preserve">En banc hearing 24 April 2025.</w:t>
      </w:r>
    </w:p>
    <w:p>
      <w:pPr>
        <w:pStyle w:val="ListParagraph"/>
        <w:numPr>
          <w:ilvl w:val="0"/>
          <w:numId w:val="2"/>
        </w:numPr>
        <w:spacing w:after="90"/>
      </w:pPr>
      <w:r>
        <w:rPr>
          <w:sz w:val="21"/>
          <w:szCs w:val="21"/>
        </w:rPr>
        <w:t xml:space="preserve">Tentative Order adopted 6 November 2025, published in the Pennsylvania Bulletin 22 November 2025, comments to 22 December 2025 with no reply comments.</w:t>
      </w:r>
    </w:p>
    <w:p>
      <w:pPr>
        <w:pStyle w:val="ListParagraph"/>
        <w:numPr>
          <w:ilvl w:val="0"/>
          <w:numId w:val="2"/>
        </w:numPr>
        <w:spacing w:after="90"/>
      </w:pPr>
      <w:r>
        <w:rPr>
          <w:sz w:val="21"/>
          <w:szCs w:val="21"/>
        </w:rPr>
        <w:t xml:space="preserve">Final Order issued 12 May 2026.</w:t>
      </w:r>
    </w:p>
    <w:p>
      <w:pPr>
        <w:spacing w:after="80" w:before="160"/>
      </w:pPr>
      <w:r>
        <w:rPr>
          <w:b/>
          <w:bCs/>
          <w:sz w:val="21"/>
          <w:szCs w:val="21"/>
        </w:rPr>
        <w:t xml:space="preserve">Thresholds</w:t>
      </w:r>
    </w:p>
    <w:p>
      <w:pPr>
        <w:spacing w:after="140"/>
      </w:pPr>
      <w:r>
        <w:rPr>
          <w:sz w:val="21"/>
          <w:szCs w:val="21"/>
        </w:rPr>
        <w:t xml:space="preserve">The model tariff applies to an individual customer with maximum contract capacity above 50 MW, or to multiple closely located customers at 100 MW aggregate. The Commission aligned the threshold with Ohio, Indiana and West Virginia.</w:t>
      </w:r>
    </w:p>
    <w:p>
      <w:pPr>
        <w:spacing w:after="80" w:before="160"/>
      </w:pPr>
      <w:r>
        <w:rPr>
          <w:b/>
          <w:bCs/>
          <w:sz w:val="21"/>
          <w:szCs w:val="21"/>
        </w:rPr>
        <w:t xml:space="preserve">What the tariff establishes</w:t>
      </w:r>
    </w:p>
    <w:p>
      <w:pPr>
        <w:pStyle w:val="ListParagraph"/>
        <w:numPr>
          <w:ilvl w:val="0"/>
          <w:numId w:val="2"/>
        </w:numPr>
        <w:spacing w:after="90"/>
      </w:pPr>
      <w:r>
        <w:rPr>
          <w:sz w:val="21"/>
          <w:szCs w:val="21"/>
        </w:rPr>
        <w:t xml:space="preserve">A large load customer definition.</w:t>
      </w:r>
    </w:p>
    <w:p>
      <w:pPr>
        <w:pStyle w:val="ListParagraph"/>
        <w:numPr>
          <w:ilvl w:val="0"/>
          <w:numId w:val="2"/>
        </w:numPr>
        <w:spacing w:after="90"/>
      </w:pPr>
      <w:r>
        <w:rPr>
          <w:sz w:val="21"/>
          <w:szCs w:val="21"/>
        </w:rPr>
        <w:t xml:space="preserve">Credit and collateral requirements, including contributions in aid of construction and tiered collateral.</w:t>
      </w:r>
    </w:p>
    <w:p>
      <w:pPr>
        <w:pStyle w:val="ListParagraph"/>
        <w:numPr>
          <w:ilvl w:val="0"/>
          <w:numId w:val="2"/>
        </w:numPr>
        <w:spacing w:after="90"/>
      </w:pPr>
      <w:r>
        <w:rPr>
          <w:sz w:val="21"/>
          <w:szCs w:val="21"/>
        </w:rPr>
        <w:t xml:space="preserve">Load ramp schedules. The Office of Consumer Advocate proposed 50 per cent, 65 per cent, 80 per cent and 90 per cent across years one to four. The Commission discussed three to five year ramps.</w:t>
      </w:r>
    </w:p>
    <w:p>
      <w:pPr>
        <w:pStyle w:val="ListParagraph"/>
        <w:numPr>
          <w:ilvl w:val="0"/>
          <w:numId w:val="2"/>
        </w:numPr>
        <w:spacing w:after="90"/>
      </w:pPr>
      <w:r>
        <w:rPr>
          <w:sz w:val="21"/>
          <w:szCs w:val="21"/>
        </w:rPr>
        <w:t xml:space="preserve">Minimum contract terms and early termination fees.</w:t>
      </w:r>
    </w:p>
    <w:p>
      <w:pPr>
        <w:pStyle w:val="ListParagraph"/>
        <w:numPr>
          <w:ilvl w:val="0"/>
          <w:numId w:val="2"/>
        </w:numPr>
        <w:spacing w:after="90"/>
      </w:pPr>
      <w:r>
        <w:rPr>
          <w:sz w:val="21"/>
          <w:szCs w:val="21"/>
        </w:rPr>
        <w:t xml:space="preserve">Firm interconnection study timelines.</w:t>
      </w:r>
    </w:p>
    <w:p>
      <w:pPr>
        <w:pStyle w:val="ListParagraph"/>
        <w:numPr>
          <w:ilvl w:val="0"/>
          <w:numId w:val="2"/>
        </w:numPr>
        <w:spacing w:after="90"/>
      </w:pPr>
      <w:r>
        <w:rPr>
          <w:sz w:val="21"/>
          <w:szCs w:val="21"/>
        </w:rPr>
        <w:t xml:space="preserve">Universal service programme contributions.</w:t>
      </w:r>
    </w:p>
    <w:p>
      <w:pPr>
        <w:pStyle w:val="ListParagraph"/>
        <w:numPr>
          <w:ilvl w:val="0"/>
          <w:numId w:val="2"/>
        </w:numPr>
        <w:spacing w:after="90"/>
      </w:pPr>
      <w:r>
        <w:rPr>
          <w:sz w:val="21"/>
          <w:szCs w:val="21"/>
        </w:rPr>
        <w:t xml:space="preserve">A but for cost standard.</w:t>
      </w:r>
    </w:p>
    <w:p>
      <w:pPr>
        <w:pStyle w:val="ListParagraph"/>
        <w:numPr>
          <w:ilvl w:val="0"/>
          <w:numId w:val="2"/>
        </w:numPr>
        <w:spacing w:after="90"/>
      </w:pPr>
      <w:r>
        <w:rPr>
          <w:sz w:val="21"/>
          <w:szCs w:val="21"/>
        </w:rPr>
        <w:t xml:space="preserve">Authorisation for third party build out of interconnection infrastructure and for customer self construction.</w:t>
      </w:r>
    </w:p>
    <w:p>
      <w:pPr>
        <w:spacing w:after="140"/>
      </w:pPr>
      <w:r>
        <w:rPr>
          <w:sz w:val="21"/>
          <w:szCs w:val="21"/>
        </w:rPr>
        <w:t xml:space="preserve">Aggregation criteria and the majority beneficiary methodology were reserved for future electric distribution company filings.</w:t>
      </w:r>
    </w:p>
    <w:p>
      <w:pPr>
        <w:spacing w:after="140"/>
      </w:pPr>
      <w:r>
        <w:rPr>
          <w:sz w:val="21"/>
          <w:szCs w:val="21"/>
        </w:rPr>
        <w:t xml:space="preserve">The tariff coordinates large load emergency response with PJM, consistent with Department of Energy Section 202(c) orders authorising PJM to direct deployment of data center backup generation during system emergencies.</w:t>
      </w:r>
    </w:p>
    <w:p>
      <w:pPr>
        <w:spacing w:after="200" w:before="80"/>
      </w:pPr>
      <w:r>
        <w:rPr>
          <w:i/>
          <w:iCs/>
          <w:color w:val="666666"/>
          <w:sz w:val="17"/>
          <w:szCs w:val="17"/>
        </w:rPr>
        <w:t xml:space="preserve">Source: puc.pa.gov Docket M-2025-3054271 filings and press release; K&amp;L Gates; National Law Review; Reed Smith.</w:t>
      </w:r>
    </w:p>
    <w:p>
      <w:pPr>
        <w:pStyle w:val="Heading2"/>
        <w:spacing w:after="120" w:before="280"/>
      </w:pPr>
      <w:r>
        <w:rPr>
          <w:b/>
          <w:bCs/>
          <w:color w:val="B02020"/>
          <w:sz w:val="24"/>
          <w:szCs w:val="24"/>
        </w:rPr>
        <w:t xml:space="preserve">4.2 PJM interconnection position</w:t>
      </w:r>
    </w:p>
    <w:p>
      <w:pPr>
        <w:spacing w:after="140"/>
      </w:pPr>
      <w:r>
        <w:rPr>
          <w:sz w:val="21"/>
          <w:szCs w:val="21"/>
        </w:rPr>
        <w:t xml:space="preserve">Per a PJM Interconnection release dated 29 April 2026 from Valley Forge, 811 new generation projects capable of 220 GW, stated as 220,222 MW, applied to connect through the first cycle. Natural gas led at 105.8 GW across 157 projects, followed by storage at 66.5 GW across 349 projects. The Commission chairman cited these results at the 30 April 2026 public meeting. The Governor had called on PJM to open its interconnection queue and prioritise new projects.</w:t>
      </w:r>
    </w:p>
    <w:p>
      <w:pPr>
        <w:spacing w:after="200" w:before="80"/>
      </w:pPr>
      <w:r>
        <w:rPr>
          <w:i/>
          <w:iCs/>
          <w:color w:val="666666"/>
          <w:sz w:val="17"/>
          <w:szCs w:val="17"/>
        </w:rPr>
        <w:t xml:space="preserve">Source: PJM Interconnection release, 29 April 2026; puc.pa.gov.</w:t>
      </w:r>
    </w:p>
    <w:p>
      <w:pPr>
        <w:pStyle w:val="Heading2"/>
        <w:spacing w:after="120" w:before="280"/>
      </w:pPr>
      <w:r>
        <w:rPr>
          <w:b/>
          <w:bCs/>
          <w:color w:val="B02020"/>
          <w:sz w:val="24"/>
          <w:szCs w:val="24"/>
        </w:rPr>
        <w:t xml:space="preserve">4.3 Data center legislation in the 2025 to 2026 session</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1600"/>
        <w:gridCol w:w="7760"/>
      </w:tblGrid>
      <w:tr>
        <w:trPr>
          <w:tblHeader/>
        </w:trPr>
        <w:tc>
          <w:tcPr>
            <w:tcW w:type="dxa" w:w="1600"/>
            <w:shd w:fill="F2F2F2" w:color="auto" w:val="clear"/>
            <w:tcMar>
              <w:top w:type="dxa" w:w="80"/>
              <w:left w:type="dxa" w:w="110"/>
              <w:bottom w:type="dxa" w:w="80"/>
              <w:right w:type="dxa" w:w="110"/>
            </w:tcMar>
          </w:tcPr>
          <w:p>
            <w:r>
              <w:rPr>
                <w:b/>
                <w:bCs/>
                <w:sz w:val="18"/>
                <w:szCs w:val="18"/>
              </w:rPr>
              <w:t xml:space="preserve">Bill</w:t>
            </w:r>
          </w:p>
        </w:tc>
        <w:tc>
          <w:tcPr>
            <w:tcW w:type="dxa" w:w="7760"/>
            <w:shd w:fill="F2F2F2" w:color="auto" w:val="clear"/>
            <w:tcMar>
              <w:top w:type="dxa" w:w="80"/>
              <w:left w:type="dxa" w:w="110"/>
              <w:bottom w:type="dxa" w:w="80"/>
              <w:right w:type="dxa" w:w="110"/>
            </w:tcMar>
          </w:tcPr>
          <w:p>
            <w:r>
              <w:rPr>
                <w:b/>
                <w:bCs/>
                <w:sz w:val="18"/>
                <w:szCs w:val="18"/>
              </w:rPr>
              <w:t xml:space="preserve">Content and status</w:t>
            </w:r>
          </w:p>
        </w:tc>
      </w:tr>
      <w:tr>
        <w:trPr>
          <w:tblHeader w:val="false"/>
        </w:trPr>
        <w:tc>
          <w:tcPr>
            <w:tcW w:type="dxa" w:w="1600"/>
            <w:tcMar>
              <w:top w:type="dxa" w:w="80"/>
              <w:left w:type="dxa" w:w="110"/>
              <w:bottom w:type="dxa" w:w="80"/>
              <w:right w:type="dxa" w:w="110"/>
            </w:tcMar>
          </w:tcPr>
          <w:p>
            <w:r>
              <w:rPr>
                <w:sz w:val="18"/>
                <w:szCs w:val="18"/>
              </w:rPr>
              <w:t xml:space="preserve">HB 1834</w:t>
            </w:r>
          </w:p>
        </w:tc>
        <w:tc>
          <w:tcPr>
            <w:tcW w:type="dxa" w:w="7760"/>
            <w:tcMar>
              <w:top w:type="dxa" w:w="80"/>
              <w:left w:type="dxa" w:w="110"/>
              <w:bottom w:type="dxa" w:w="80"/>
              <w:right w:type="dxa" w:w="110"/>
            </w:tcMar>
          </w:tcPr>
          <w:p>
            <w:r>
              <w:rPr>
                <w:sz w:val="18"/>
                <w:szCs w:val="18"/>
              </w:rPr>
              <w:t xml:space="preserve">Data Center Act. Directs the Public Utility Commission to regulate commercial data centers. Establishes a Data Center LIHEAP Enhancement Account and a Pennsylvania Energy Independence Account. Clean firm energy requirements, contract filing, backup generation and curtailment standards, expedited interconnection. Would require at least 25 per cent of electricity from renewables including Pennsylvania nuclear. Engrossed by the House 24 March 2026, referred to Senate Consumer Protection and Professional Licensure 31 March 2026</w:t>
            </w:r>
          </w:p>
        </w:tc>
      </w:tr>
      <w:tr>
        <w:trPr>
          <w:tblHeader w:val="false"/>
        </w:trPr>
        <w:tc>
          <w:tcPr>
            <w:tcW w:type="dxa" w:w="1600"/>
            <w:tcMar>
              <w:top w:type="dxa" w:w="80"/>
              <w:left w:type="dxa" w:w="110"/>
              <w:bottom w:type="dxa" w:w="80"/>
              <w:right w:type="dxa" w:w="110"/>
            </w:tcMar>
          </w:tcPr>
          <w:p>
            <w:r>
              <w:rPr>
                <w:sz w:val="18"/>
                <w:szCs w:val="18"/>
              </w:rPr>
              <w:t xml:space="preserve">SB 991</w:t>
            </w:r>
          </w:p>
        </w:tc>
        <w:tc>
          <w:tcPr>
            <w:tcW w:type="dxa" w:w="7760"/>
            <w:tcMar>
              <w:top w:type="dxa" w:w="80"/>
              <w:left w:type="dxa" w:w="110"/>
              <w:bottom w:type="dxa" w:w="80"/>
              <w:right w:type="dxa" w:w="110"/>
            </w:tcMar>
          </w:tcPr>
          <w:p>
            <w:r>
              <w:rPr>
                <w:sz w:val="18"/>
                <w:szCs w:val="18"/>
              </w:rPr>
              <w:t xml:space="preserve">Data Center Siting and Permitting Act. DEP run expedited permitting with at least 15 preapproved sites of which at least 5 decommissioned, a 10,000 USD Phase 1 fee, and a 3 day notice to proceed. Referred to committee 5 September 2025</w:t>
            </w:r>
          </w:p>
        </w:tc>
      </w:tr>
      <w:tr>
        <w:trPr>
          <w:tblHeader w:val="false"/>
        </w:trPr>
        <w:tc>
          <w:tcPr>
            <w:tcW w:type="dxa" w:w="1600"/>
            <w:tcMar>
              <w:top w:type="dxa" w:w="80"/>
              <w:left w:type="dxa" w:w="110"/>
              <w:bottom w:type="dxa" w:w="80"/>
              <w:right w:type="dxa" w:w="110"/>
            </w:tcMar>
          </w:tcPr>
          <w:p>
            <w:r>
              <w:rPr>
                <w:sz w:val="18"/>
                <w:szCs w:val="18"/>
              </w:rPr>
              <w:t xml:space="preserve">HB 2198</w:t>
            </w:r>
          </w:p>
        </w:tc>
        <w:tc>
          <w:tcPr>
            <w:tcW w:type="dxa" w:w="7760"/>
            <w:tcMar>
              <w:top w:type="dxa" w:w="80"/>
              <w:left w:type="dxa" w:w="110"/>
              <w:bottom w:type="dxa" w:w="80"/>
              <w:right w:type="dxa" w:w="110"/>
            </w:tcMar>
          </w:tcPr>
          <w:p>
            <w:r>
              <w:rPr>
                <w:sz w:val="18"/>
                <w:szCs w:val="18"/>
              </w:rPr>
              <w:t xml:space="preserve">Repeals the Computer Data Center Equipment Incentive Program from the Tax Reform Code. House final passage 25 June 2026 by 197 to 5, to Senate Finance 26 June 2026</w:t>
            </w:r>
          </w:p>
        </w:tc>
      </w:tr>
      <w:tr>
        <w:trPr>
          <w:tblHeader w:val="false"/>
        </w:trPr>
        <w:tc>
          <w:tcPr>
            <w:tcW w:type="dxa" w:w="1600"/>
            <w:tcMar>
              <w:top w:type="dxa" w:w="80"/>
              <w:left w:type="dxa" w:w="110"/>
              <w:bottom w:type="dxa" w:w="80"/>
              <w:right w:type="dxa" w:w="110"/>
            </w:tcMar>
          </w:tcPr>
          <w:p>
            <w:r>
              <w:rPr>
                <w:sz w:val="18"/>
                <w:szCs w:val="18"/>
              </w:rPr>
              <w:t xml:space="preserve">HB 2151</w:t>
            </w:r>
          </w:p>
        </w:tc>
        <w:tc>
          <w:tcPr>
            <w:tcW w:type="dxa" w:w="7760"/>
            <w:tcMar>
              <w:top w:type="dxa" w:w="80"/>
              <w:left w:type="dxa" w:w="110"/>
              <w:bottom w:type="dxa" w:w="80"/>
              <w:right w:type="dxa" w:w="110"/>
            </w:tcMar>
          </w:tcPr>
          <w:p>
            <w:r>
              <w:rPr>
                <w:sz w:val="18"/>
                <w:szCs w:val="18"/>
              </w:rPr>
              <w:t xml:space="preserve">Amends the Municipalities Planning Code. Directs the Governor’s Center for Local Government Services to develop a model data center zoning ordinance</w:t>
            </w:r>
          </w:p>
        </w:tc>
      </w:tr>
      <w:tr>
        <w:trPr>
          <w:tblHeader w:val="false"/>
        </w:trPr>
        <w:tc>
          <w:tcPr>
            <w:tcW w:type="dxa" w:w="1600"/>
            <w:tcMar>
              <w:top w:type="dxa" w:w="80"/>
              <w:left w:type="dxa" w:w="110"/>
              <w:bottom w:type="dxa" w:w="80"/>
              <w:right w:type="dxa" w:w="110"/>
            </w:tcMar>
          </w:tcPr>
          <w:p>
            <w:r>
              <w:rPr>
                <w:sz w:val="18"/>
                <w:szCs w:val="18"/>
              </w:rPr>
              <w:t xml:space="preserve">HB 2650</w:t>
            </w:r>
          </w:p>
        </w:tc>
        <w:tc>
          <w:tcPr>
            <w:tcW w:type="dxa" w:w="7760"/>
            <w:tcMar>
              <w:top w:type="dxa" w:w="80"/>
              <w:left w:type="dxa" w:w="110"/>
              <w:bottom w:type="dxa" w:w="80"/>
              <w:right w:type="dxa" w:w="110"/>
            </w:tcMar>
          </w:tcPr>
          <w:p>
            <w:r>
              <w:rPr>
                <w:sz w:val="18"/>
                <w:szCs w:val="18"/>
              </w:rPr>
              <w:t xml:space="preserve">Would codify the Governor’s Responsible Infrastructure Development standards. Passed the House late June 2026</w:t>
            </w:r>
          </w:p>
        </w:tc>
      </w:tr>
      <w:tr>
        <w:trPr>
          <w:tblHeader w:val="false"/>
        </w:trPr>
        <w:tc>
          <w:tcPr>
            <w:tcW w:type="dxa" w:w="1600"/>
            <w:tcMar>
              <w:top w:type="dxa" w:w="80"/>
              <w:left w:type="dxa" w:w="110"/>
              <w:bottom w:type="dxa" w:w="80"/>
              <w:right w:type="dxa" w:w="110"/>
            </w:tcMar>
          </w:tcPr>
          <w:p>
            <w:r>
              <w:rPr>
                <w:sz w:val="18"/>
                <w:szCs w:val="18"/>
              </w:rPr>
              <w:t xml:space="preserve">HB 2496</w:t>
            </w:r>
          </w:p>
        </w:tc>
        <w:tc>
          <w:tcPr>
            <w:tcW w:type="dxa" w:w="7760"/>
            <w:tcMar>
              <w:top w:type="dxa" w:w="80"/>
              <w:left w:type="dxa" w:w="110"/>
              <w:bottom w:type="dxa" w:w="80"/>
              <w:right w:type="dxa" w:w="110"/>
            </w:tcMar>
          </w:tcPr>
          <w:p>
            <w:r>
              <w:rPr>
                <w:sz w:val="18"/>
                <w:szCs w:val="18"/>
              </w:rPr>
              <w:t xml:space="preserve">Allows local 180 day moratoria to update ordinances. Passed the House late June 2026</w:t>
            </w:r>
          </w:p>
        </w:tc>
      </w:tr>
      <w:tr>
        <w:trPr>
          <w:tblHeader w:val="false"/>
        </w:trPr>
        <w:tc>
          <w:tcPr>
            <w:tcW w:type="dxa" w:w="1600"/>
            <w:tcMar>
              <w:top w:type="dxa" w:w="80"/>
              <w:left w:type="dxa" w:w="110"/>
              <w:bottom w:type="dxa" w:w="80"/>
              <w:right w:type="dxa" w:w="110"/>
            </w:tcMar>
          </w:tcPr>
          <w:p>
            <w:r>
              <w:rPr>
                <w:sz w:val="18"/>
                <w:szCs w:val="18"/>
              </w:rPr>
              <w:t xml:space="preserve">HB 2246</w:t>
            </w:r>
          </w:p>
        </w:tc>
        <w:tc>
          <w:tcPr>
            <w:tcW w:type="dxa" w:w="7760"/>
            <w:tcMar>
              <w:top w:type="dxa" w:w="80"/>
              <w:left w:type="dxa" w:w="110"/>
              <w:bottom w:type="dxa" w:w="80"/>
              <w:right w:type="dxa" w:w="110"/>
            </w:tcMar>
          </w:tcPr>
          <w:p>
            <w:r>
              <w:rPr>
                <w:sz w:val="18"/>
                <w:szCs w:val="18"/>
              </w:rPr>
              <w:t xml:space="preserve">DEP data center water use permitting and reporting</w:t>
            </w:r>
          </w:p>
        </w:tc>
      </w:tr>
    </w:tbl>
    <w:p>
      <w:pPr>
        <w:spacing w:after="200" w:before="80"/>
      </w:pPr>
      <w:r>
        <w:rPr>
          <w:i/>
          <w:iCs/>
          <w:color w:val="666666"/>
          <w:sz w:val="17"/>
          <w:szCs w:val="17"/>
        </w:rPr>
        <w:t xml:space="preserve">Source: legiscan.com; palegis.us; PennFuture data center legislation tracker; Reed Smith; Duane Morris Government Strategies; Herald-Standard, 27 June 2026.</w:t>
      </w:r>
    </w:p>
    <w:p>
      <w:pPr>
        <w:pStyle w:val="Heading2"/>
        <w:spacing w:after="120" w:before="280"/>
      </w:pPr>
      <w:r>
        <w:rPr>
          <w:b/>
          <w:bCs/>
          <w:color w:val="B02020"/>
          <w:sz w:val="24"/>
          <w:szCs w:val="24"/>
        </w:rPr>
        <w:t xml:space="preserve">4.4 The Lightning Plan, PRESS and EDGE</w:t>
      </w:r>
    </w:p>
    <w:p>
      <w:pPr>
        <w:spacing w:after="140"/>
      </w:pPr>
      <w:r>
        <w:rPr>
          <w:sz w:val="21"/>
          <w:szCs w:val="21"/>
        </w:rPr>
        <w:t xml:space="preserve">Announced January 2025 and introduced in the General Assembly on 23 and 24 April 2025 as six bills.</w:t>
      </w:r>
    </w:p>
    <w:p>
      <w:pPr>
        <w:pStyle w:val="ListParagraph"/>
        <w:numPr>
          <w:ilvl w:val="0"/>
          <w:numId w:val="2"/>
        </w:numPr>
        <w:spacing w:after="90"/>
      </w:pPr>
      <w:r>
        <w:rPr>
          <w:sz w:val="21"/>
          <w:szCs w:val="21"/>
        </w:rPr>
        <w:t xml:space="preserve">RESET Board, the Reliable Energy Siting and Electric Transition board. A state siting board to speed energy project permitting. Pennsylvania is one of twelve states without such an entity.</w:t>
      </w:r>
    </w:p>
    <w:p>
      <w:pPr>
        <w:pStyle w:val="ListParagraph"/>
        <w:numPr>
          <w:ilvl w:val="0"/>
          <w:numId w:val="2"/>
        </w:numPr>
        <w:spacing w:after="90"/>
      </w:pPr>
      <w:r>
        <w:rPr>
          <w:sz w:val="21"/>
          <w:szCs w:val="21"/>
        </w:rPr>
        <w:t xml:space="preserve">PA EDGE tax credit update, HB 500 and SB 500. Includes a new Reliable Energy Investment Credit of up to 100 million USD per facility over three years, focused on adding reliable energy to the grid. Also a Regional Clean Hydrogen Tax Credit of up to 49 million USD annually and a Sustainable Aviation Fuel credit cited at about 15 million USD a year. The House passed the EDGE tax credit and the Community Energy Act on a bipartisan basis in 2025.</w:t>
      </w:r>
    </w:p>
    <w:p>
      <w:pPr>
        <w:pStyle w:val="ListParagraph"/>
        <w:numPr>
          <w:ilvl w:val="0"/>
          <w:numId w:val="2"/>
        </w:numPr>
        <w:spacing w:after="90"/>
      </w:pPr>
      <w:r>
        <w:rPr>
          <w:sz w:val="21"/>
          <w:szCs w:val="21"/>
        </w:rPr>
        <w:t xml:space="preserve">PRESS, the Pennsylvania Reliable Energy Sustainability Standard, HB 501 and SB 501. Would replace and expand the Alternative Energy Portfolio Standard, with wind and solar requirements cited at 35 per cent by 2035, and incentives for nuclear and renewables.</w:t>
      </w:r>
    </w:p>
    <w:p>
      <w:pPr>
        <w:pStyle w:val="ListParagraph"/>
        <w:numPr>
          <w:ilvl w:val="0"/>
          <w:numId w:val="2"/>
        </w:numPr>
        <w:spacing w:after="90"/>
      </w:pPr>
      <w:r>
        <w:rPr>
          <w:sz w:val="21"/>
          <w:szCs w:val="21"/>
        </w:rPr>
        <w:t xml:space="preserve">PACER, the Pennsylvania Climate Emissions Reduction Act. A cap and invest carbon programme for power plants.</w:t>
      </w:r>
    </w:p>
    <w:p>
      <w:pPr>
        <w:spacing w:after="200" w:before="80"/>
      </w:pPr>
      <w:r>
        <w:rPr>
          <w:i/>
          <w:iCs/>
          <w:color w:val="666666"/>
          <w:sz w:val="17"/>
          <w:szCs w:val="17"/>
        </w:rPr>
        <w:t xml:space="preserve">Source: pa.gov governor newsroom; Babst Calland; City and State PA; Daily Energy Insider.</w:t>
      </w:r>
    </w:p>
    <w:p>
      <w:r>
        <w:br w:type="page"/>
      </w:r>
    </w:p>
    <w:p>
      <w:pPr>
        <w:pStyle w:val="Heading1"/>
        <w:spacing w:after="160" w:before="380"/>
      </w:pPr>
      <w:r>
        <w:rPr>
          <w:b/>
          <w:bCs/>
          <w:color w:val="222222"/>
          <w:sz w:val="30"/>
          <w:szCs w:val="30"/>
        </w:rPr>
        <w:t xml:space="preserve">5. RISE PA</w:t>
      </w:r>
    </w:p>
    <w:p>
      <w:pPr>
        <w:spacing w:after="140"/>
      </w:pPr>
      <w:r>
        <w:rPr>
          <w:sz w:val="21"/>
          <w:szCs w:val="21"/>
        </w:rPr>
        <w:t xml:space="preserve">Reducing Industrial Sector Emissions in Pennsylvania. A 396.1 million USD statewide industrial decarbonisation grant programme administered by the Department of Environmental Protection, funded through the United States Environmental Protection Agency Climate Pollution Reduction Grants under the Inflation Reduction Act. Announced July 2024 as the second largest federal grant in Pennsylvania history. PennTAP provides technical assistance and administers the small scale track.</w:t>
      </w:r>
    </w:p>
    <w:p>
      <w:pPr>
        <w:spacing w:after="80" w:before="160"/>
      </w:pPr>
      <w:r>
        <w:rPr>
          <w:b/>
          <w:bCs/>
          <w:sz w:val="21"/>
          <w:szCs w:val="21"/>
        </w:rPr>
        <w:t xml:space="preserve">Eligible project categories</w:t>
      </w:r>
    </w:p>
    <w:p>
      <w:pPr>
        <w:spacing w:after="140"/>
      </w:pPr>
      <w:r>
        <w:rPr>
          <w:sz w:val="21"/>
          <w:szCs w:val="21"/>
        </w:rPr>
        <w:t xml:space="preserve">Industrial electrification replacing fossil fuel powered equipment with electric alternatives. Energy efficiency and process emissions reductions. Switching to low carbon fuels. On site renewable energy. Carbon capture and storage. Reducing fugitive emissions from natural gas and oil systems and coal mining.</w:t>
      </w:r>
    </w:p>
    <w:p>
      <w:pPr>
        <w:spacing w:after="80" w:before="160"/>
      </w:pPr>
      <w:r>
        <w:rPr>
          <w:b/>
          <w:bCs/>
          <w:sz w:val="21"/>
          <w:szCs w:val="21"/>
        </w:rPr>
        <w:t xml:space="preserve">Eligible applicant</w:t>
      </w:r>
    </w:p>
    <w:p>
      <w:pPr>
        <w:spacing w:after="140"/>
      </w:pPr>
      <w:r>
        <w:rPr>
          <w:sz w:val="21"/>
          <w:szCs w:val="21"/>
        </w:rPr>
        <w:t xml:space="preserve">Industrial facilities, including small, medium and large scale manufacturers. The industrial sector accounts for just over 30 per cent of Pennsylvania total greenhouse gas emissions.</w:t>
      </w:r>
    </w:p>
    <w:p>
      <w:pPr>
        <w:spacing w:after="80" w:before="160"/>
      </w:pPr>
      <w:r>
        <w:rPr>
          <w:b/>
          <w:bCs/>
          <w:sz w:val="21"/>
          <w:szCs w:val="21"/>
        </w:rPr>
        <w:t xml:space="preserve">Tracks and award record</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400"/>
        <w:gridCol w:w="2400"/>
        <w:gridCol w:w="4560"/>
      </w:tblGrid>
      <w:tr>
        <w:trPr>
          <w:tblHeader/>
        </w:trPr>
        <w:tc>
          <w:tcPr>
            <w:tcW w:type="dxa" w:w="2400"/>
            <w:shd w:fill="F2F2F2" w:color="auto" w:val="clear"/>
            <w:tcMar>
              <w:top w:type="dxa" w:w="80"/>
              <w:left w:type="dxa" w:w="110"/>
              <w:bottom w:type="dxa" w:w="80"/>
              <w:right w:type="dxa" w:w="110"/>
            </w:tcMar>
          </w:tcPr>
          <w:p>
            <w:r>
              <w:rPr>
                <w:b/>
                <w:bCs/>
                <w:sz w:val="18"/>
                <w:szCs w:val="18"/>
              </w:rPr>
              <w:t xml:space="preserve">Track</w:t>
            </w:r>
          </w:p>
        </w:tc>
        <w:tc>
          <w:tcPr>
            <w:tcW w:type="dxa" w:w="2400"/>
            <w:shd w:fill="F2F2F2" w:color="auto" w:val="clear"/>
            <w:tcMar>
              <w:top w:type="dxa" w:w="80"/>
              <w:left w:type="dxa" w:w="110"/>
              <w:bottom w:type="dxa" w:w="80"/>
              <w:right w:type="dxa" w:w="110"/>
            </w:tcMar>
          </w:tcPr>
          <w:p>
            <w:r>
              <w:rPr>
                <w:b/>
                <w:bCs/>
                <w:sz w:val="18"/>
                <w:szCs w:val="18"/>
              </w:rPr>
              <w:t xml:space="preserve">Funding</w:t>
            </w:r>
          </w:p>
        </w:tc>
        <w:tc>
          <w:tcPr>
            <w:tcW w:type="dxa" w:w="4560"/>
            <w:shd w:fill="F2F2F2" w:color="auto" w:val="clear"/>
            <w:tcMar>
              <w:top w:type="dxa" w:w="80"/>
              <w:left w:type="dxa" w:w="110"/>
              <w:bottom w:type="dxa" w:w="80"/>
              <w:right w:type="dxa" w:w="110"/>
            </w:tcMar>
          </w:tcPr>
          <w:p>
            <w:r>
              <w:rPr>
                <w:b/>
                <w:bCs/>
                <w:sz w:val="18"/>
                <w:szCs w:val="18"/>
              </w:rPr>
              <w:t xml:space="preserve">Status</w:t>
            </w:r>
          </w:p>
        </w:tc>
      </w:tr>
      <w:tr>
        <w:trPr>
          <w:tblHeader w:val="false"/>
        </w:trPr>
        <w:tc>
          <w:tcPr>
            <w:tcW w:type="dxa" w:w="2400"/>
            <w:tcMar>
              <w:top w:type="dxa" w:w="80"/>
              <w:left w:type="dxa" w:w="110"/>
              <w:bottom w:type="dxa" w:w="80"/>
              <w:right w:type="dxa" w:w="110"/>
            </w:tcMar>
          </w:tcPr>
          <w:p>
            <w:r>
              <w:rPr>
                <w:sz w:val="18"/>
                <w:szCs w:val="18"/>
              </w:rPr>
              <w:t xml:space="preserve">Small scale, SAT</w:t>
            </w:r>
          </w:p>
        </w:tc>
        <w:tc>
          <w:tcPr>
            <w:tcW w:type="dxa" w:w="2400"/>
            <w:tcMar>
              <w:top w:type="dxa" w:w="80"/>
              <w:left w:type="dxa" w:w="110"/>
              <w:bottom w:type="dxa" w:w="80"/>
              <w:right w:type="dxa" w:w="110"/>
            </w:tcMar>
          </w:tcPr>
          <w:p>
            <w:r>
              <w:rPr>
                <w:sz w:val="18"/>
                <w:szCs w:val="18"/>
              </w:rPr>
              <w:t xml:space="preserve">40 million USD across 2025 to 2029, roughly three cycles a year</w:t>
            </w:r>
          </w:p>
        </w:tc>
        <w:tc>
          <w:tcPr>
            <w:tcW w:type="dxa" w:w="4560"/>
            <w:tcMar>
              <w:top w:type="dxa" w:w="80"/>
              <w:left w:type="dxa" w:w="110"/>
              <w:bottom w:type="dxa" w:w="80"/>
              <w:right w:type="dxa" w:w="110"/>
            </w:tcMar>
          </w:tcPr>
          <w:p>
            <w:r>
              <w:rPr>
                <w:sz w:val="18"/>
                <w:szCs w:val="18"/>
              </w:rPr>
              <w:t xml:space="preserve">Round 1 awards announced 1 April 2026, 5 million USD to 14 projects saving over 5,055 tonnes carbon dioxide equivalent. Round 4 opened 15 May 2026, closes 15 August 2026 per DEP or 17 August 2026 per PennTAP</w:t>
            </w:r>
          </w:p>
        </w:tc>
      </w:tr>
      <w:tr>
        <w:trPr>
          <w:tblHeader w:val="false"/>
        </w:trPr>
        <w:tc>
          <w:tcPr>
            <w:tcW w:type="dxa" w:w="2400"/>
            <w:tcMar>
              <w:top w:type="dxa" w:w="80"/>
              <w:left w:type="dxa" w:w="110"/>
              <w:bottom w:type="dxa" w:w="80"/>
              <w:right w:type="dxa" w:w="110"/>
            </w:tcMar>
          </w:tcPr>
          <w:p>
            <w:r>
              <w:rPr>
                <w:sz w:val="18"/>
                <w:szCs w:val="18"/>
              </w:rPr>
              <w:t xml:space="preserve">Medium and large, MAT and LAT</w:t>
            </w:r>
          </w:p>
        </w:tc>
        <w:tc>
          <w:tcPr>
            <w:tcW w:type="dxa" w:w="2400"/>
            <w:tcMar>
              <w:top w:type="dxa" w:w="80"/>
              <w:left w:type="dxa" w:w="110"/>
              <w:bottom w:type="dxa" w:w="80"/>
              <w:right w:type="dxa" w:w="110"/>
            </w:tcMar>
          </w:tcPr>
          <w:p>
            <w:r>
              <w:rPr>
                <w:sz w:val="18"/>
                <w:szCs w:val="18"/>
              </w:rPr>
              <w:t xml:space="preserve">52 million USD remaining in Round 2</w:t>
            </w:r>
          </w:p>
        </w:tc>
        <w:tc>
          <w:tcPr>
            <w:tcW w:type="dxa" w:w="4560"/>
            <w:tcMar>
              <w:top w:type="dxa" w:w="80"/>
              <w:left w:type="dxa" w:w="110"/>
              <w:bottom w:type="dxa" w:w="80"/>
              <w:right w:type="dxa" w:w="110"/>
            </w:tcMar>
          </w:tcPr>
          <w:p>
            <w:r>
              <w:rPr>
                <w:sz w:val="18"/>
                <w:szCs w:val="18"/>
              </w:rPr>
              <w:t xml:space="preserve">Round 1 awards announced 24 April 2026. Round 2 window 15 May 2026 to 31 July 2026. Clean Air Task Force gives 15 July 2026, which conflicts with PennTAP</w:t>
            </w:r>
          </w:p>
        </w:tc>
      </w:tr>
      <w:tr>
        <w:trPr>
          <w:tblHeader w:val="false"/>
        </w:trPr>
        <w:tc>
          <w:tcPr>
            <w:tcW w:type="dxa" w:w="2400"/>
            <w:tcMar>
              <w:top w:type="dxa" w:w="80"/>
              <w:left w:type="dxa" w:w="110"/>
              <w:bottom w:type="dxa" w:w="80"/>
              <w:right w:type="dxa" w:w="110"/>
            </w:tcMar>
          </w:tcPr>
          <w:p>
            <w:r>
              <w:rPr>
                <w:sz w:val="18"/>
                <w:szCs w:val="18"/>
              </w:rPr>
              <w:t xml:space="preserve">Programme total</w:t>
            </w:r>
          </w:p>
        </w:tc>
        <w:tc>
          <w:tcPr>
            <w:tcW w:type="dxa" w:w="2400"/>
            <w:tcMar>
              <w:top w:type="dxa" w:w="80"/>
              <w:left w:type="dxa" w:w="110"/>
              <w:bottom w:type="dxa" w:w="80"/>
              <w:right w:type="dxa" w:w="110"/>
            </w:tcMar>
          </w:tcPr>
          <w:p>
            <w:r>
              <w:rPr>
                <w:sz w:val="18"/>
                <w:szCs w:val="18"/>
              </w:rPr>
              <w:t xml:space="preserve">396.1 million USD</w:t>
            </w:r>
          </w:p>
        </w:tc>
        <w:tc>
          <w:tcPr>
            <w:tcW w:type="dxa" w:w="4560"/>
            <w:tcMar>
              <w:top w:type="dxa" w:w="80"/>
              <w:left w:type="dxa" w:w="110"/>
              <w:bottom w:type="dxa" w:w="80"/>
              <w:right w:type="dxa" w:w="110"/>
            </w:tcMar>
          </w:tcPr>
          <w:p>
            <w:r>
              <w:rPr>
                <w:sz w:val="18"/>
                <w:szCs w:val="18"/>
              </w:rPr>
              <w:t xml:space="preserve">267,825,172 USD committed as at 28 April 2026 across 31 projects. Further rounds planned through 2028</w:t>
            </w:r>
          </w:p>
        </w:tc>
      </w:tr>
    </w:tbl>
    <w:p>
      <w:pPr>
        <w:spacing w:after="140"/>
      </w:pPr>
      <w:r>
        <w:rPr>
          <w:sz w:val="21"/>
          <w:szCs w:val="21"/>
        </w:rPr>
        <w:t xml:space="preserve">The largest single award in the April 2026 tranche was 52,479,494 USD to PECO Energy Company to replace a combustion turbine with an electrified compressor turbine at a natural gas transmission and distribution facility.</w:t>
      </w:r>
    </w:p>
    <w:p>
      <w:pPr>
        <w:spacing w:after="80" w:before="160"/>
      </w:pPr>
      <w:r>
        <w:rPr>
          <w:b/>
          <w:bCs/>
          <w:sz w:val="21"/>
          <w:szCs w:val="21"/>
        </w:rPr>
        <w:t xml:space="preserve">Support infrastructure</w:t>
      </w:r>
    </w:p>
    <w:p>
      <w:pPr>
        <w:spacing w:after="140"/>
      </w:pPr>
      <w:r>
        <w:rPr>
          <w:sz w:val="21"/>
          <w:szCs w:val="21"/>
        </w:rPr>
        <w:t xml:space="preserve">An updated Detailed Budget Table form is posted in the DEP eLibrary and in the online grant application portal. The RISE team offered extended office hours from 10am to noon on the last two Wednesdays before a solicitation closed, and a financial support webinar on 23 July 2026 covering total project cost calculation, eligible costs, budget breakdown and cash flow analysis, and supporting documentation. Catalyst Connection has procured technical assessments for small and medium manufacturers under the programme.</w:t>
      </w:r>
    </w:p>
    <w:p>
      <w:pPr>
        <w:spacing w:after="200" w:before="80"/>
      </w:pPr>
      <w:r>
        <w:rPr>
          <w:i/>
          <w:iCs/>
          <w:color w:val="666666"/>
          <w:sz w:val="17"/>
          <w:szCs w:val="17"/>
        </w:rPr>
        <w:t xml:space="preserve">Source: pa.gov DEP RISE PA programme page; pa.gov governor and DEP newsroom, 28 April 2026; penntap.psu.edu; catf.us; delcopa.gov; ecos.org; wemakeithere.org.</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6. Financing instruments</w:t>
      </w:r>
    </w:p>
    <w:p>
      <w:pPr>
        <w:pStyle w:val="Heading2"/>
        <w:spacing w:after="120" w:before="280"/>
      </w:pPr>
      <w:r>
        <w:rPr>
          <w:b/>
          <w:bCs/>
          <w:color w:val="B02020"/>
          <w:sz w:val="24"/>
          <w:szCs w:val="24"/>
        </w:rPr>
        <w:t xml:space="preserve">6.1 C-PACE</w:t>
      </w:r>
    </w:p>
    <w:p>
      <w:pPr>
        <w:spacing w:after="140"/>
      </w:pPr>
      <w:r>
        <w:rPr>
          <w:sz w:val="21"/>
          <w:szCs w:val="21"/>
        </w:rPr>
        <w:t xml:space="preserve">Commercial Property Assessed Clean Energy. Authorised by Act 30 of 2018, P.L. 198, signed 12 June 2018. A county, or a municipality with an established community or economic development authority, adopts a resolution or ordinance and designates a district. No statewide administrator or startup funding was assigned by the Act.</w:t>
      </w:r>
    </w:p>
    <w:p>
      <w:pPr>
        <w:spacing w:after="80" w:before="160"/>
      </w:pPr>
      <w:r>
        <w:rPr>
          <w:b/>
          <w:bCs/>
          <w:sz w:val="21"/>
          <w:szCs w:val="21"/>
        </w:rPr>
        <w:t xml:space="preserve">Structure</w:t>
      </w:r>
    </w:p>
    <w:p>
      <w:pPr>
        <w:pStyle w:val="ListParagraph"/>
        <w:numPr>
          <w:ilvl w:val="0"/>
          <w:numId w:val="2"/>
        </w:numPr>
        <w:spacing w:after="90"/>
      </w:pPr>
      <w:r>
        <w:rPr>
          <w:sz w:val="21"/>
          <w:szCs w:val="21"/>
        </w:rPr>
        <w:t xml:space="preserve">Finances energy efficiency, renewable energy and water conservation for commercial, agricultural and industrial property, repaid through a voluntary property tax lien assessment.</w:t>
      </w:r>
    </w:p>
    <w:p>
      <w:pPr>
        <w:pStyle w:val="ListParagraph"/>
        <w:numPr>
          <w:ilvl w:val="0"/>
          <w:numId w:val="2"/>
        </w:numPr>
        <w:spacing w:after="90"/>
      </w:pPr>
      <w:r>
        <w:rPr>
          <w:sz w:val="21"/>
          <w:szCs w:val="21"/>
        </w:rPr>
        <w:t xml:space="preserve">Up to 100 per cent of total project costs including equipment, labour and soft costs.</w:t>
      </w:r>
    </w:p>
    <w:p>
      <w:pPr>
        <w:pStyle w:val="ListParagraph"/>
        <w:numPr>
          <w:ilvl w:val="0"/>
          <w:numId w:val="2"/>
        </w:numPr>
        <w:spacing w:after="90"/>
      </w:pPr>
      <w:r>
        <w:rPr>
          <w:sz w:val="21"/>
          <w:szCs w:val="21"/>
        </w:rPr>
        <w:t xml:space="preserve">Terms typically 20 to 30 years, matched to the useful life of the improvements, generally non recourse.</w:t>
      </w:r>
    </w:p>
    <w:p>
      <w:pPr>
        <w:pStyle w:val="ListParagraph"/>
        <w:numPr>
          <w:ilvl w:val="0"/>
          <w:numId w:val="2"/>
        </w:numPr>
        <w:spacing w:after="90"/>
      </w:pPr>
      <w:r>
        <w:rPr>
          <w:sz w:val="21"/>
          <w:szCs w:val="21"/>
        </w:rPr>
        <w:t xml:space="preserve">The assessment transfers on sale rather than accelerating, and can be passed through to tenants where the lease allows.</w:t>
      </w:r>
    </w:p>
    <w:p>
      <w:pPr>
        <w:pStyle w:val="ListParagraph"/>
        <w:numPr>
          <w:ilvl w:val="0"/>
          <w:numId w:val="2"/>
        </w:numPr>
        <w:spacing w:after="90"/>
      </w:pPr>
      <w:r>
        <w:rPr>
          <w:sz w:val="21"/>
          <w:szCs w:val="21"/>
        </w:rPr>
        <w:t xml:space="preserve">Works for new construction as well as retrofit of existing buildings.</w:t>
      </w:r>
    </w:p>
    <w:p>
      <w:pPr>
        <w:pStyle w:val="ListParagraph"/>
        <w:numPr>
          <w:ilvl w:val="0"/>
          <w:numId w:val="2"/>
        </w:numPr>
        <w:spacing w:after="90"/>
      </w:pPr>
      <w:r>
        <w:rPr>
          <w:sz w:val="21"/>
          <w:szCs w:val="21"/>
        </w:rPr>
        <w:t xml:space="preserve">Owners of existing or new properties zoned commercial, industrial or agricultural are eligible. Residential including multifamily is excluded by the base programme.</w:t>
      </w:r>
    </w:p>
    <w:p>
      <w:pPr>
        <w:pStyle w:val="ListParagraph"/>
        <w:numPr>
          <w:ilvl w:val="0"/>
          <w:numId w:val="2"/>
        </w:numPr>
        <w:spacing w:after="90"/>
      </w:pPr>
      <w:r>
        <w:rPr>
          <w:sz w:val="21"/>
          <w:szCs w:val="21"/>
        </w:rPr>
        <w:t xml:space="preserve">Sustainable Energy Fund cites a 10,000 USD minimum project size and an average project of about 250,000 USD.</w:t>
      </w:r>
    </w:p>
    <w:p>
      <w:pPr>
        <w:spacing w:after="80" w:before="160"/>
      </w:pPr>
      <w:r>
        <w:rPr>
          <w:b/>
          <w:bCs/>
          <w:sz w:val="21"/>
          <w:szCs w:val="21"/>
        </w:rPr>
        <w:t xml:space="preserve">Act 43 of 2022</w:t>
      </w:r>
    </w:p>
    <w:p>
      <w:pPr>
        <w:spacing w:after="140"/>
      </w:pPr>
      <w:r>
        <w:rPr>
          <w:sz w:val="21"/>
          <w:szCs w:val="21"/>
        </w:rPr>
        <w:t xml:space="preserve">Signed 7 July 2022, effective 6 September 2022. Expanded eligibility to multifamily commercial buildings of five units or more, to indoor air quality, and to building resiliency improvements.</w:t>
      </w:r>
    </w:p>
    <w:p>
      <w:pPr>
        <w:spacing w:after="80" w:before="160"/>
      </w:pPr>
      <w:r>
        <w:rPr>
          <w:b/>
          <w:bCs/>
          <w:sz w:val="21"/>
          <w:szCs w:val="21"/>
        </w:rPr>
        <w:t xml:space="preserve">Eligible measures</w:t>
      </w:r>
    </w:p>
    <w:p>
      <w:pPr>
        <w:spacing w:after="140"/>
      </w:pPr>
      <w:r>
        <w:rPr>
          <w:sz w:val="21"/>
          <w:szCs w:val="21"/>
        </w:rPr>
        <w:t xml:space="preserve">Named measures include LED lighting, HVAC upgrades, geothermal energy, heat recovery, and high efficiency equipment such as chillers and heat pumps. Water measures cover any process or equipment demonstrating water savings of 25 per cent or more.</w:t>
      </w:r>
    </w:p>
    <w:p>
      <w:pPr>
        <w:spacing w:after="80" w:before="160"/>
      </w:pPr>
      <w:r>
        <w:rPr>
          <w:b/>
          <w:bCs/>
          <w:sz w:val="21"/>
          <w:szCs w:val="21"/>
        </w:rPr>
        <w:t xml:space="preserve">Administrators</w:t>
      </w:r>
    </w:p>
    <w:p>
      <w:pPr>
        <w:spacing w:after="140"/>
      </w:pPr>
      <w:r>
        <w:rPr>
          <w:sz w:val="21"/>
          <w:szCs w:val="21"/>
        </w:rPr>
        <w:t xml:space="preserve">Sustainable Energy Fund of Schnecksville administers for any county or municipality except Philadelphia, at no cost to the local authority. Philadelphia Energy Authority administers Philadelphia. The C-PACE in a Box model guidelines were developed by Sustainable Energy Fund, Philadelphia Energy Authority, the Keystone Energy Efficiency Alliance and the City of Pittsburgh.</w:t>
      </w:r>
    </w:p>
    <w:p>
      <w:pPr>
        <w:spacing w:after="80" w:before="160"/>
      </w:pPr>
      <w:r>
        <w:rPr>
          <w:b/>
          <w:bCs/>
          <w:sz w:val="21"/>
          <w:szCs w:val="21"/>
        </w:rPr>
        <w:t xml:space="preserve">County position</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400"/>
        <w:gridCol w:w="6960"/>
      </w:tblGrid>
      <w:tr>
        <w:trPr>
          <w:tblHeader/>
        </w:trPr>
        <w:tc>
          <w:tcPr>
            <w:tcW w:type="dxa" w:w="2400"/>
            <w:shd w:fill="F2F2F2" w:color="auto" w:val="clear"/>
            <w:tcMar>
              <w:top w:type="dxa" w:w="80"/>
              <w:left w:type="dxa" w:w="110"/>
              <w:bottom w:type="dxa" w:w="80"/>
              <w:right w:type="dxa" w:w="110"/>
            </w:tcMar>
          </w:tcPr>
          <w:p>
            <w:r>
              <w:rPr>
                <w:b/>
                <w:bCs/>
                <w:sz w:val="18"/>
                <w:szCs w:val="18"/>
              </w:rPr>
              <w:t xml:space="preserve">County</w:t>
            </w:r>
          </w:p>
        </w:tc>
        <w:tc>
          <w:tcPr>
            <w:tcW w:type="dxa" w:w="6960"/>
            <w:shd w:fill="F2F2F2" w:color="auto" w:val="clear"/>
            <w:tcMar>
              <w:top w:type="dxa" w:w="80"/>
              <w:left w:type="dxa" w:w="110"/>
              <w:bottom w:type="dxa" w:w="80"/>
              <w:right w:type="dxa" w:w="110"/>
            </w:tcMar>
          </w:tcPr>
          <w:p>
            <w:r>
              <w:rPr>
                <w:b/>
                <w:bCs/>
                <w:sz w:val="18"/>
                <w:szCs w:val="18"/>
              </w:rPr>
              <w:t xml:space="preserve">Position</w:t>
            </w:r>
          </w:p>
        </w:tc>
      </w:tr>
      <w:tr>
        <w:trPr>
          <w:tblHeader w:val="false"/>
        </w:trPr>
        <w:tc>
          <w:tcPr>
            <w:tcW w:type="dxa" w:w="2400"/>
            <w:tcMar>
              <w:top w:type="dxa" w:w="80"/>
              <w:left w:type="dxa" w:w="110"/>
              <w:bottom w:type="dxa" w:w="80"/>
              <w:right w:type="dxa" w:w="110"/>
            </w:tcMar>
          </w:tcPr>
          <w:p>
            <w:r>
              <w:rPr>
                <w:sz w:val="18"/>
                <w:szCs w:val="18"/>
              </w:rPr>
              <w:t xml:space="preserve">Northampton</w:t>
            </w:r>
          </w:p>
        </w:tc>
        <w:tc>
          <w:tcPr>
            <w:tcW w:type="dxa" w:w="6960"/>
            <w:tcMar>
              <w:top w:type="dxa" w:w="80"/>
              <w:left w:type="dxa" w:w="110"/>
              <w:bottom w:type="dxa" w:w="80"/>
              <w:right w:type="dxa" w:w="110"/>
            </w:tcMar>
          </w:tcPr>
          <w:p>
            <w:r>
              <w:rPr>
                <w:sz w:val="18"/>
                <w:szCs w:val="18"/>
              </w:rPr>
              <w:t xml:space="preserve">First county in Pennsylvania to adopt. Resolution 46-2019 approved 2 May 2019, Sustainable Energy Fund administrator. First project approved 21 May 2021, ODG 100-116 Northampton LLC adaptive reuse. A 140 Cedarville project approved 25 September 2024 at 3.05 million USD. Listed as an expansion programme</w:t>
            </w:r>
          </w:p>
        </w:tc>
      </w:tr>
      <w:tr>
        <w:trPr>
          <w:tblHeader w:val="false"/>
        </w:trPr>
        <w:tc>
          <w:tcPr>
            <w:tcW w:type="dxa" w:w="2400"/>
            <w:tcMar>
              <w:top w:type="dxa" w:w="80"/>
              <w:left w:type="dxa" w:w="110"/>
              <w:bottom w:type="dxa" w:w="80"/>
              <w:right w:type="dxa" w:w="110"/>
            </w:tcMar>
          </w:tcPr>
          <w:p>
            <w:r>
              <w:rPr>
                <w:sz w:val="18"/>
                <w:szCs w:val="18"/>
              </w:rPr>
              <w:t xml:space="preserve">Lehigh</w:t>
            </w:r>
          </w:p>
        </w:tc>
        <w:tc>
          <w:tcPr>
            <w:tcW w:type="dxa" w:w="6960"/>
            <w:tcMar>
              <w:top w:type="dxa" w:w="80"/>
              <w:left w:type="dxa" w:w="110"/>
              <w:bottom w:type="dxa" w:w="80"/>
              <w:right w:type="dxa" w:w="110"/>
            </w:tcMar>
          </w:tcPr>
          <w:p>
            <w:r>
              <w:rPr>
                <w:sz w:val="18"/>
                <w:szCs w:val="18"/>
              </w:rPr>
              <w:t xml:space="preserve">Adopted by resolution November 2019, Sustainable Energy Fund administrator, accepting applications, listed as an expansion programme</w:t>
            </w:r>
          </w:p>
        </w:tc>
      </w:tr>
      <w:tr>
        <w:trPr>
          <w:tblHeader w:val="false"/>
        </w:trPr>
        <w:tc>
          <w:tcPr>
            <w:tcW w:type="dxa" w:w="2400"/>
            <w:tcMar>
              <w:top w:type="dxa" w:w="80"/>
              <w:left w:type="dxa" w:w="110"/>
              <w:bottom w:type="dxa" w:w="80"/>
              <w:right w:type="dxa" w:w="110"/>
            </w:tcMar>
          </w:tcPr>
          <w:p>
            <w:r>
              <w:rPr>
                <w:sz w:val="18"/>
                <w:szCs w:val="18"/>
              </w:rPr>
              <w:t xml:space="preserve">Philadelphia</w:t>
            </w:r>
          </w:p>
        </w:tc>
        <w:tc>
          <w:tcPr>
            <w:tcW w:type="dxa" w:w="6960"/>
            <w:tcMar>
              <w:top w:type="dxa" w:w="80"/>
              <w:left w:type="dxa" w:w="110"/>
              <w:bottom w:type="dxa" w:w="80"/>
              <w:right w:type="dxa" w:w="110"/>
            </w:tcMar>
          </w:tcPr>
          <w:p>
            <w:r>
              <w:rPr>
                <w:sz w:val="18"/>
                <w:szCs w:val="18"/>
              </w:rPr>
              <w:t xml:space="preserve">City Council authorised 20 June 2019 with Philadelphia Energy Authority as administrator, ordinance amended June 2022 consistent with Act 43. Programme surpassed 300 million USD cumulative in 2025, with 312 million USD of capital provided since launch and nearly half deployed in the past two years. A separately circulated figure of about 400 million USD across 22 projects derives from an EConsult Solutions impact study of Philadelphia Energy Authority facilitated activity, not the Authority cumulative financing total</w:t>
            </w:r>
          </w:p>
        </w:tc>
      </w:tr>
      <w:tr>
        <w:trPr>
          <w:tblHeader w:val="false"/>
        </w:trPr>
        <w:tc>
          <w:tcPr>
            <w:tcW w:type="dxa" w:w="2400"/>
            <w:tcMar>
              <w:top w:type="dxa" w:w="80"/>
              <w:left w:type="dxa" w:w="110"/>
              <w:bottom w:type="dxa" w:w="80"/>
              <w:right w:type="dxa" w:w="110"/>
            </w:tcMar>
          </w:tcPr>
          <w:p>
            <w:r>
              <w:rPr>
                <w:sz w:val="18"/>
                <w:szCs w:val="18"/>
              </w:rPr>
              <w:t xml:space="preserve">Allegheny</w:t>
            </w:r>
          </w:p>
        </w:tc>
        <w:tc>
          <w:tcPr>
            <w:tcW w:type="dxa" w:w="6960"/>
            <w:tcMar>
              <w:top w:type="dxa" w:w="80"/>
              <w:left w:type="dxa" w:w="110"/>
              <w:bottom w:type="dxa" w:w="80"/>
              <w:right w:type="dxa" w:w="110"/>
            </w:tcMar>
          </w:tcPr>
          <w:p>
            <w:r>
              <w:rPr>
                <w:sz w:val="18"/>
                <w:szCs w:val="18"/>
              </w:rPr>
              <w:t xml:space="preserve">Listed as an expansion programme on the statewide directory</w:t>
            </w:r>
          </w:p>
        </w:tc>
      </w:tr>
    </w:tbl>
    <w:p>
      <w:pPr>
        <w:spacing w:after="80" w:before="160"/>
      </w:pPr>
      <w:r>
        <w:rPr>
          <w:b/>
          <w:bCs/>
          <w:sz w:val="21"/>
          <w:szCs w:val="21"/>
        </w:rPr>
        <w:t xml:space="preserve">Philadelphia retroactive financing rule</w:t>
      </w:r>
    </w:p>
    <w:p>
      <w:pPr>
        <w:spacing w:after="140"/>
      </w:pPr>
      <w:r>
        <w:rPr>
          <w:sz w:val="21"/>
          <w:szCs w:val="21"/>
        </w:rPr>
        <w:t xml:space="preserve">Philadelphia updated its programme guidelines in 2025 to allow retroactive C-PACE financing up to three years after project completion, extending the previous two year lookback.</w:t>
      </w:r>
    </w:p>
    <w:p>
      <w:pPr>
        <w:spacing w:after="80" w:before="160"/>
      </w:pPr>
      <w:r>
        <w:rPr>
          <w:b/>
          <w:bCs/>
          <w:sz w:val="21"/>
          <w:szCs w:val="21"/>
        </w:rPr>
        <w:t xml:space="preserve">Statewide coverage as displayed in 2026</w:t>
      </w:r>
    </w:p>
    <w:p>
      <w:pPr>
        <w:spacing w:after="140"/>
      </w:pPr>
      <w:r>
        <w:rPr>
          <w:sz w:val="21"/>
          <w:szCs w:val="21"/>
        </w:rPr>
        <w:t xml:space="preserve">Expansion programmes in Allegheny, Berks, Bucks, Centre, Chester, Clarion, Clinton, Cumberland, Dauphin, Delaware, Franklin, Lackawanna, Lancaster, Lebanon, Lehigh, Montgomery, Northampton, Northumberland, Philadelphia, Somerset, Warren, Washington, Wayne, Westmoreland and York. Active programmes in Bedford, Cambria, Erie, Luzerne and Union. Resolution passed in Lawrence. All remaining counties are listed as having no active programme.</w:t>
      </w:r>
    </w:p>
    <w:p>
      <w:pPr>
        <w:spacing w:after="80" w:before="160"/>
      </w:pPr>
      <w:r>
        <w:rPr>
          <w:b/>
          <w:bCs/>
          <w:sz w:val="21"/>
          <w:szCs w:val="21"/>
        </w:rPr>
        <w:t xml:space="preserve">Federal overlay</w:t>
      </w:r>
    </w:p>
    <w:p>
      <w:pPr>
        <w:spacing w:after="140"/>
      </w:pPr>
      <w:r>
        <w:rPr>
          <w:sz w:val="21"/>
          <w:szCs w:val="21"/>
        </w:rPr>
        <w:t xml:space="preserve">The Consumer Financial Protection Bureau final rule applying Truth in Lending requirements to PACE financing becomes effective 1 March 2026, amending Regulation Z to treat voluntary PACE assessments as credit and adding a three day right of rescission. The rule addresses residential PACE.</w:t>
      </w:r>
    </w:p>
    <w:p>
      <w:pPr>
        <w:spacing w:after="200" w:before="80"/>
      </w:pPr>
      <w:r>
        <w:rPr>
          <w:i/>
          <w:iCs/>
          <w:color w:val="666666"/>
          <w:sz w:val="17"/>
          <w:szCs w:val="17"/>
        </w:rPr>
        <w:t xml:space="preserve">Source: pa.gov DEP C-PACE page; pennsylvaniacpace.org; pacpacecounties.org; thesef.org; philaenergy.org; philadelphiacpace.org; c-pace.com; alleghenycounty.us; crcog.net.</w:t>
      </w:r>
    </w:p>
    <w:p>
      <w:pPr>
        <w:pStyle w:val="Heading2"/>
        <w:spacing w:after="120" w:before="280"/>
      </w:pPr>
      <w:r>
        <w:rPr>
          <w:b/>
          <w:bCs/>
          <w:color w:val="B02020"/>
          <w:sz w:val="24"/>
          <w:szCs w:val="24"/>
        </w:rPr>
        <w:t xml:space="preserve">6.2 PENNVEST</w:t>
      </w:r>
    </w:p>
    <w:p>
      <w:pPr>
        <w:spacing w:after="140"/>
      </w:pPr>
      <w:r>
        <w:rPr>
          <w:sz w:val="21"/>
          <w:szCs w:val="21"/>
        </w:rPr>
        <w:t xml:space="preserve">Pennsylvania Infrastructure Investment Authority, created by Act 16 of 1988, funded through the federal Clean Water State Revolving Fund, the Drinking Water State Revolving Fund and the Bipartisan Infrastructure Law.</w:t>
      </w:r>
    </w:p>
    <w:p>
      <w:pPr>
        <w:spacing w:after="80" w:before="160"/>
      </w:pPr>
      <w:r>
        <w:rPr>
          <w:b/>
          <w:bCs/>
          <w:sz w:val="21"/>
          <w:szCs w:val="21"/>
        </w:rPr>
        <w:t xml:space="preserve">Eligible project types</w:t>
      </w:r>
    </w:p>
    <w:p>
      <w:pPr>
        <w:spacing w:after="140"/>
      </w:pPr>
      <w:r>
        <w:rPr>
          <w:sz w:val="21"/>
          <w:szCs w:val="21"/>
        </w:rPr>
        <w:t xml:space="preserve">Acquisition, construction, improvement, expansion, extension, repair or rehabilitation of any system or facility, publicly or privately owned, for collection, treatment or disposal of wastewater including industrial waste or non point source and estuary protection; supply, treatment, storage or distribution of drinking water; and control of stormwater. Traditional financing also covers green infrastructure, lead line replacement, agricultural best management practices, acid mine remediation, brownfield and greyfield redevelopment, estuary revitalisation and emerging contaminants.</w:t>
      </w:r>
    </w:p>
    <w:p>
      <w:pPr>
        <w:spacing w:after="80" w:before="160"/>
      </w:pPr>
      <w:r>
        <w:rPr>
          <w:b/>
          <w:bCs/>
          <w:sz w:val="21"/>
          <w:szCs w:val="21"/>
        </w:rPr>
        <w:t xml:space="preserve">Stormwater and rainwater</w:t>
      </w:r>
    </w:p>
    <w:p>
      <w:pPr>
        <w:spacing w:after="140"/>
      </w:pPr>
      <w:r>
        <w:rPr>
          <w:sz w:val="21"/>
          <w:szCs w:val="21"/>
        </w:rPr>
        <w:t xml:space="preserve">Stormwater control qualifies, described as the transport, storage and infiltration of stormwater, together with best management practices for point and non point source pollution from stormwater runoff. Green infrastructure examples include porous pavement, green roofs, riparian buffers, wetlands, downspout disconnection, water meters, leak detection equipment, energy efficiency retrofits to pumps and treatment, and water efficient fixtures. The traditional programme language reads public system or facility for the control of stormwater for one project category, while PENNVEST also states projects may be whether publicly or privately owned and describes financing privately owned stormwater and green infrastructure work.</w:t>
      </w:r>
    </w:p>
    <w:p>
      <w:pPr>
        <w:spacing w:after="80" w:before="160"/>
      </w:pPr>
      <w:r>
        <w:rPr>
          <w:b/>
          <w:bCs/>
          <w:sz w:val="21"/>
          <w:szCs w:val="21"/>
        </w:rPr>
        <w:t xml:space="preserve">Applicant eligibility</w:t>
      </w:r>
    </w:p>
    <w:p>
      <w:pPr>
        <w:spacing w:after="140"/>
      </w:pPr>
      <w:r>
        <w:rPr>
          <w:sz w:val="21"/>
          <w:szCs w:val="21"/>
        </w:rPr>
        <w:t xml:space="preserve">Any municipality, authority or private entity that is an owner or operator of a drinking water, wastewater or non point source pollution prevention project is eligible.</w:t>
      </w:r>
    </w:p>
    <w:p>
      <w:pPr>
        <w:spacing w:after="80" w:before="160"/>
      </w:pPr>
      <w:r>
        <w:rPr>
          <w:b/>
          <w:bCs/>
          <w:sz w:val="21"/>
          <w:szCs w:val="21"/>
        </w:rPr>
        <w:t xml:space="preserve">Terms</w:t>
      </w:r>
    </w:p>
    <w:p>
      <w:pPr>
        <w:pStyle w:val="ListParagraph"/>
        <w:numPr>
          <w:ilvl w:val="0"/>
          <w:numId w:val="2"/>
        </w:numPr>
        <w:spacing w:after="90"/>
      </w:pPr>
      <w:r>
        <w:rPr>
          <w:sz w:val="21"/>
          <w:szCs w:val="21"/>
        </w:rPr>
        <w:t xml:space="preserve">Traditional programme. Interest only during construction up to three years, then a 20 year principal and interest term. Interest rates at the allowable county maximum under section 10(f) of Act 16 of 1988. Hardship adjustments, being a reduced rate, grant or principal forgiveness, or term extension, are possible through a Uniform Rate Analysis.</w:t>
      </w:r>
    </w:p>
    <w:p>
      <w:pPr>
        <w:pStyle w:val="ListParagraph"/>
        <w:numPr>
          <w:ilvl w:val="0"/>
          <w:numId w:val="2"/>
        </w:numPr>
        <w:spacing w:after="90"/>
      </w:pPr>
      <w:r>
        <w:rPr>
          <w:sz w:val="21"/>
          <w:szCs w:val="21"/>
        </w:rPr>
        <w:t xml:space="preserve">Pro-Fi programme. All awards are loans at county cap rates with a 20 year repayment. Not eligible for grant or principal forgiveness. Requires an approved Capital Improvement Plan.</w:t>
      </w:r>
    </w:p>
    <w:p>
      <w:pPr>
        <w:pStyle w:val="ListParagraph"/>
        <w:numPr>
          <w:ilvl w:val="0"/>
          <w:numId w:val="2"/>
        </w:numPr>
        <w:spacing w:after="90"/>
      </w:pPr>
      <w:r>
        <w:rPr>
          <w:sz w:val="21"/>
          <w:szCs w:val="21"/>
        </w:rPr>
        <w:t xml:space="preserve">Small Project Programme. Not eligible for extended term bond purchases, grant awards or principal forgiveness loans.</w:t>
      </w:r>
    </w:p>
    <w:p>
      <w:pPr>
        <w:pStyle w:val="ListParagraph"/>
        <w:numPr>
          <w:ilvl w:val="0"/>
          <w:numId w:val="2"/>
        </w:numPr>
        <w:spacing w:after="90"/>
      </w:pPr>
      <w:r>
        <w:rPr>
          <w:sz w:val="21"/>
          <w:szCs w:val="21"/>
        </w:rPr>
        <w:t xml:space="preserve">Applicants must hold all environmental permits at time of application where applicable.</w:t>
      </w:r>
    </w:p>
    <w:p>
      <w:pPr>
        <w:spacing w:after="200" w:before="80"/>
      </w:pPr>
      <w:r>
        <w:rPr>
          <w:i/>
          <w:iCs/>
          <w:color w:val="666666"/>
          <w:sz w:val="17"/>
          <w:szCs w:val="17"/>
        </w:rPr>
        <w:t xml:space="preserve">Source: pa.gov PENNVEST funding programmes, Small Project Program, Pro-Fi and Traditional Construction Funding Program pages; dced.pa.gov; dvrpc.org.</w:t>
      </w:r>
    </w:p>
    <w:p>
      <w:pPr>
        <w:pStyle w:val="Heading2"/>
        <w:spacing w:after="120" w:before="280"/>
      </w:pPr>
      <w:r>
        <w:rPr>
          <w:b/>
          <w:bCs/>
          <w:color w:val="B02020"/>
          <w:sz w:val="24"/>
          <w:szCs w:val="24"/>
        </w:rPr>
        <w:t xml:space="preserve">6.3 PEDA and the Energy Accelerator Program</w:t>
      </w:r>
    </w:p>
    <w:p>
      <w:pPr>
        <w:spacing w:after="140"/>
      </w:pPr>
      <w:r>
        <w:rPr>
          <w:sz w:val="21"/>
          <w:szCs w:val="21"/>
        </w:rPr>
        <w:t xml:space="preserve">The Pennsylvania Energy Development Authority is an independent public financing authority created by the Act of 14 December 1982, P.L. 1213, No. 280, codified at 71 P.S., and revitalised by executive order in 2004. It can award grants, loans and loan guarantees for clean advanced energy projects. The Department of Environmental Protection provides administrative and staff support. PEDA issued an updated Energy Development Plan in 2025.</w:t>
      </w:r>
    </w:p>
    <w:p>
      <w:pPr>
        <w:spacing w:after="80" w:before="160"/>
      </w:pPr>
      <w:r>
        <w:rPr>
          <w:b/>
          <w:bCs/>
          <w:sz w:val="21"/>
          <w:szCs w:val="21"/>
        </w:rPr>
        <w:t xml:space="preserve">Historic grant programme</w:t>
      </w:r>
    </w:p>
    <w:p>
      <w:pPr>
        <w:spacing w:after="140"/>
      </w:pPr>
      <w:r>
        <w:rPr>
          <w:sz w:val="21"/>
          <w:szCs w:val="21"/>
        </w:rPr>
        <w:t xml:space="preserve">Up to 1 million USD per project, open to corporations, partnerships, associations and other legal business entities, nonprofits, schools, local government, commercial and industrial applicants. Named eligible technologies included heat recovery, solar thermal electric, photovoltaic, landfill gas, geothermal heat pumps, combined heat and power and cogeneration, coal mine methane, waste coal, anaerobic digestion, small hydroelectric, other distributed generation technologies, wind, biomass and fuel cells. Historic solicitations ran once annually, opening mid April and closing mid June. Funds could be used for capital equipment, construction associated with capital equipment projects, and land acquisition. Pure research was not eligible. PEDA particularly encouraged applicants with projects related to distributed generation for critical public infrastructure.</w:t>
      </w:r>
    </w:p>
    <w:p>
      <w:pPr>
        <w:spacing w:after="80" w:before="160"/>
      </w:pPr>
      <w:r>
        <w:rPr>
          <w:b/>
          <w:bCs/>
          <w:sz w:val="21"/>
          <w:szCs w:val="21"/>
        </w:rPr>
        <w:t xml:space="preserve">Energy Accelerator Program</w:t>
      </w:r>
    </w:p>
    <w:p>
      <w:pPr>
        <w:spacing w:after="140"/>
      </w:pPr>
      <w:r>
        <w:rPr>
          <w:sz w:val="21"/>
          <w:szCs w:val="21"/>
        </w:rPr>
        <w:t xml:space="preserve">The Energy Accelerator Program functions as Pennsylvania’s green bank, established by PEDA to finance clean energy projects using PEDA funds plus federal money from the Infrastructure Investment and Jobs Act and the Inflation Reduction Act, with the aim of leveraging third party investment.</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600"/>
        <w:gridCol w:w="6760"/>
      </w:tblGrid>
      <w:tr>
        <w:trPr>
          <w:tblHeader/>
        </w:trPr>
        <w:tc>
          <w:tcPr>
            <w:tcW w:type="dxa" w:w="2600"/>
            <w:shd w:fill="F2F2F2" w:color="auto" w:val="clear"/>
            <w:tcMar>
              <w:top w:type="dxa" w:w="80"/>
              <w:left w:type="dxa" w:w="110"/>
              <w:bottom w:type="dxa" w:w="80"/>
              <w:right w:type="dxa" w:w="110"/>
            </w:tcMar>
          </w:tcPr>
          <w:p>
            <w:r>
              <w:rPr>
                <w:b/>
                <w:bCs/>
                <w:sz w:val="18"/>
                <w:szCs w:val="18"/>
              </w:rPr>
              <w:t xml:space="preserve">Product</w:t>
            </w:r>
          </w:p>
        </w:tc>
        <w:tc>
          <w:tcPr>
            <w:tcW w:type="dxa" w:w="6760"/>
            <w:shd w:fill="F2F2F2" w:color="auto" w:val="clear"/>
            <w:tcMar>
              <w:top w:type="dxa" w:w="80"/>
              <w:left w:type="dxa" w:w="110"/>
              <w:bottom w:type="dxa" w:w="80"/>
              <w:right w:type="dxa" w:w="110"/>
            </w:tcMar>
          </w:tcPr>
          <w:p>
            <w:r>
              <w:rPr>
                <w:b/>
                <w:bCs/>
                <w:sz w:val="18"/>
                <w:szCs w:val="18"/>
              </w:rPr>
              <w:t xml:space="preserve">Position</w:t>
            </w:r>
          </w:p>
        </w:tc>
      </w:tr>
      <w:tr>
        <w:trPr>
          <w:tblHeader w:val="false"/>
        </w:trPr>
        <w:tc>
          <w:tcPr>
            <w:tcW w:type="dxa" w:w="2600"/>
            <w:tcMar>
              <w:top w:type="dxa" w:w="80"/>
              <w:left w:type="dxa" w:w="110"/>
              <w:bottom w:type="dxa" w:w="80"/>
              <w:right w:type="dxa" w:w="110"/>
            </w:tcMar>
          </w:tcPr>
          <w:p>
            <w:r>
              <w:rPr>
                <w:sz w:val="18"/>
                <w:szCs w:val="18"/>
              </w:rPr>
              <w:t xml:space="preserve">KEEP Home Energy Loan</w:t>
            </w:r>
          </w:p>
        </w:tc>
        <w:tc>
          <w:tcPr>
            <w:tcW w:type="dxa" w:w="6760"/>
            <w:tcMar>
              <w:top w:type="dxa" w:w="80"/>
              <w:left w:type="dxa" w:w="110"/>
              <w:bottom w:type="dxa" w:w="80"/>
              <w:right w:type="dxa" w:w="110"/>
            </w:tcMar>
          </w:tcPr>
          <w:p>
            <w:r>
              <w:rPr>
                <w:sz w:val="18"/>
                <w:szCs w:val="18"/>
              </w:rPr>
              <w:t xml:space="preserve">First product, launched 8 April 2024. Residential. 1 million USD of PEDA capital combined with third party capital at 10 to 1 for a 10 million USD pool. Loans 2,500 to 25,000 USD. Funded 117 projects in FY 2024 to 2025 totalling almost 1.2 million USD, and 155 recipients totalling over 1.6 million USD since launch</w:t>
            </w:r>
          </w:p>
        </w:tc>
      </w:tr>
      <w:tr>
        <w:trPr>
          <w:tblHeader w:val="false"/>
        </w:trPr>
        <w:tc>
          <w:tcPr>
            <w:tcW w:type="dxa" w:w="2600"/>
            <w:tcMar>
              <w:top w:type="dxa" w:w="80"/>
              <w:left w:type="dxa" w:w="110"/>
              <w:bottom w:type="dxa" w:w="80"/>
              <w:right w:type="dxa" w:w="110"/>
            </w:tcMar>
          </w:tcPr>
          <w:p>
            <w:r>
              <w:rPr>
                <w:sz w:val="18"/>
                <w:szCs w:val="18"/>
              </w:rPr>
              <w:t xml:space="preserve">MORE Program</w:t>
            </w:r>
          </w:p>
        </w:tc>
        <w:tc>
          <w:tcPr>
            <w:tcW w:type="dxa" w:w="6760"/>
            <w:tcMar>
              <w:top w:type="dxa" w:w="80"/>
              <w:left w:type="dxa" w:w="110"/>
              <w:bottom w:type="dxa" w:w="80"/>
              <w:right w:type="dxa" w:w="110"/>
            </w:tcMar>
          </w:tcPr>
          <w:p>
            <w:r>
              <w:rPr>
                <w:sz w:val="18"/>
                <w:szCs w:val="18"/>
              </w:rPr>
              <w:t xml:space="preserve">Second product, applications opened 3 June 2024. Municipalities and municipal authorities not eligible for a federal Energy Efficiency and Conservation Block Grant. 1.9 million USD of grants, up to 50,000 USD each, first come first served. Application closed and may not have a second round</w:t>
            </w:r>
          </w:p>
        </w:tc>
      </w:tr>
      <w:tr>
        <w:trPr>
          <w:tblHeader w:val="false"/>
        </w:trPr>
        <w:tc>
          <w:tcPr>
            <w:tcW w:type="dxa" w:w="2600"/>
            <w:tcMar>
              <w:top w:type="dxa" w:w="80"/>
              <w:left w:type="dxa" w:w="110"/>
              <w:bottom w:type="dxa" w:w="80"/>
              <w:right w:type="dxa" w:w="110"/>
            </w:tcMar>
          </w:tcPr>
          <w:p>
            <w:r>
              <w:rPr>
                <w:sz w:val="18"/>
                <w:szCs w:val="18"/>
              </w:rPr>
              <w:t xml:space="preserve">Solar for All</w:t>
            </w:r>
          </w:p>
        </w:tc>
        <w:tc>
          <w:tcPr>
            <w:tcW w:type="dxa" w:w="6760"/>
            <w:tcMar>
              <w:top w:type="dxa" w:w="80"/>
              <w:left w:type="dxa" w:w="110"/>
              <w:bottom w:type="dxa" w:w="80"/>
              <w:right w:type="dxa" w:w="110"/>
            </w:tcMar>
          </w:tcPr>
          <w:p>
            <w:r>
              <w:rPr>
                <w:sz w:val="18"/>
                <w:szCs w:val="18"/>
              </w:rPr>
              <w:t xml:space="preserve">PEDA awarded 156 million USD in April 2024 under the EPA Solar for All competition, submitted in coalition with Philadelphia Green Capital Corp. Intended to serve 12,500 households over five years. Not operational at this time</w:t>
            </w:r>
          </w:p>
        </w:tc>
      </w:tr>
      <w:tr>
        <w:trPr>
          <w:tblHeader w:val="false"/>
        </w:trPr>
        <w:tc>
          <w:tcPr>
            <w:tcW w:type="dxa" w:w="2600"/>
            <w:tcMar>
              <w:top w:type="dxa" w:w="80"/>
              <w:left w:type="dxa" w:w="110"/>
              <w:bottom w:type="dxa" w:w="80"/>
              <w:right w:type="dxa" w:w="110"/>
            </w:tcMar>
          </w:tcPr>
          <w:p>
            <w:r>
              <w:rPr>
                <w:sz w:val="18"/>
                <w:szCs w:val="18"/>
              </w:rPr>
              <w:t xml:space="preserve">Energy Independence for Municipalities</w:t>
            </w:r>
          </w:p>
        </w:tc>
        <w:tc>
          <w:tcPr>
            <w:tcW w:type="dxa" w:w="6760"/>
            <w:tcMar>
              <w:top w:type="dxa" w:w="80"/>
              <w:left w:type="dxa" w:w="110"/>
              <w:bottom w:type="dxa" w:w="80"/>
              <w:right w:type="dxa" w:w="110"/>
            </w:tcMar>
          </w:tcPr>
          <w:p>
            <w:r>
              <w:rPr>
                <w:sz w:val="18"/>
                <w:szCs w:val="18"/>
              </w:rPr>
              <w:t xml:space="preserve">PEDA board authorised an application to the Green Bank for Rural America for 11 million USD in capitalisation and technical assistance grants for a revolving loan programme for municipalities and municipal authorities in rural and low income areas</w:t>
            </w:r>
          </w:p>
        </w:tc>
      </w:tr>
    </w:tbl>
    <w:p>
      <w:pPr>
        <w:spacing w:after="200" w:before="80"/>
      </w:pPr>
      <w:r>
        <w:rPr>
          <w:i/>
          <w:iCs/>
          <w:color w:val="666666"/>
          <w:sz w:val="17"/>
          <w:szCs w:val="17"/>
        </w:rPr>
        <w:t xml:space="preserve">Source: pa.gov DEP PEDA, Energy Accelerator Program, MORE and Solar for All pages; PEDA board presentation, 11 March 2025; PEDA 2025 annual report; pacodeandbulletin.gov; energy-grants.net.</w:t>
      </w:r>
    </w:p>
    <w:p>
      <w:r>
        <w:br w:type="page"/>
      </w:r>
    </w:p>
    <w:p>
      <w:pPr>
        <w:pStyle w:val="Heading2"/>
        <w:spacing w:after="120" w:before="280"/>
      </w:pPr>
      <w:r>
        <w:rPr>
          <w:b/>
          <w:bCs/>
          <w:color w:val="B02020"/>
          <w:sz w:val="24"/>
          <w:szCs w:val="24"/>
        </w:rPr>
        <w:t xml:space="preserve">6.4 PA SITES</w:t>
      </w:r>
    </w:p>
    <w:p>
      <w:pPr>
        <w:spacing w:after="140"/>
      </w:pPr>
      <w:r>
        <w:rPr>
          <w:sz w:val="21"/>
          <w:szCs w:val="21"/>
        </w:rPr>
        <w:t xml:space="preserve">Pennsylvania Strategic Investments to Enhance Sites, administered by the Department of Community and Economic Development under Article XVIII-A of the Act of 9 April 1929, P.L. 343, No. 176, known as The Fiscal Code.</w:t>
      </w:r>
    </w:p>
    <w:p>
      <w:pPr>
        <w:pStyle w:val="ListParagraph"/>
        <w:numPr>
          <w:ilvl w:val="0"/>
          <w:numId w:val="2"/>
        </w:numPr>
        <w:spacing w:after="90"/>
      </w:pPr>
      <w:r>
        <w:rPr>
          <w:sz w:val="21"/>
          <w:szCs w:val="21"/>
        </w:rPr>
        <w:t xml:space="preserve">Two components. Planning grants for a comprehensive real estate plan or feasibility study on a prospective site, including best future use for redevelopment or new development. Construction grants and loans as gap financing for strategic sites.</w:t>
      </w:r>
    </w:p>
    <w:p>
      <w:pPr>
        <w:pStyle w:val="ListParagraph"/>
        <w:numPr>
          <w:ilvl w:val="0"/>
          <w:numId w:val="2"/>
        </w:numPr>
        <w:spacing w:after="90"/>
      </w:pPr>
      <w:r>
        <w:rPr>
          <w:sz w:val="21"/>
          <w:szCs w:val="21"/>
        </w:rPr>
        <w:t xml:space="preserve">Eligible projects include transportation access improvements, utility extensions, and grading of pad ready sites, including redevelopment of previously used or underused sites.</w:t>
      </w:r>
    </w:p>
    <w:p>
      <w:pPr>
        <w:pStyle w:val="ListParagraph"/>
        <w:numPr>
          <w:ilvl w:val="0"/>
          <w:numId w:val="2"/>
        </w:numPr>
        <w:spacing w:after="90"/>
      </w:pPr>
      <w:r>
        <w:rPr>
          <w:sz w:val="21"/>
          <w:szCs w:val="21"/>
        </w:rPr>
        <w:t xml:space="preserve">Programme size 400 million USD, of which 5 million USD is available in aggregate for planning grants. Maximum planning award 250,000 USD for any one project. No stated maximum or minimum for construction awards, subject to annual funding availability.</w:t>
      </w:r>
    </w:p>
    <w:p>
      <w:pPr>
        <w:pStyle w:val="ListParagraph"/>
        <w:numPr>
          <w:ilvl w:val="0"/>
          <w:numId w:val="2"/>
        </w:numPr>
        <w:spacing w:after="90"/>
      </w:pPr>
      <w:r>
        <w:rPr>
          <w:sz w:val="21"/>
          <w:szCs w:val="21"/>
        </w:rPr>
        <w:t xml:space="preserve">Loan amounts are set by project scope, other public and private funds available, estimated site value on completion, and the applicant agreement to make other resources available for repayment. Loans are expected to close within 120 days of approval. A grant and loan combination may be requested.</w:t>
      </w:r>
    </w:p>
    <w:p>
      <w:pPr>
        <w:pStyle w:val="ListParagraph"/>
        <w:numPr>
          <w:ilvl w:val="0"/>
          <w:numId w:val="2"/>
        </w:numPr>
        <w:spacing w:after="90"/>
      </w:pPr>
      <w:r>
        <w:rPr>
          <w:sz w:val="21"/>
          <w:szCs w:val="21"/>
        </w:rPr>
        <w:t xml:space="preserve">Costs incurred prior to grant approval are ineligible.</w:t>
      </w:r>
    </w:p>
    <w:p>
      <w:pPr>
        <w:pStyle w:val="ListParagraph"/>
        <w:numPr>
          <w:ilvl w:val="0"/>
          <w:numId w:val="2"/>
        </w:numPr>
        <w:spacing w:after="90"/>
      </w:pPr>
      <w:r>
        <w:rPr>
          <w:sz w:val="21"/>
          <w:szCs w:val="21"/>
        </w:rPr>
        <w:t xml:space="preserve">Award criteria include the priority of the site as identified in a local, regional or state economic development plan.</w:t>
      </w:r>
    </w:p>
    <w:p>
      <w:pPr>
        <w:pStyle w:val="ListParagraph"/>
        <w:numPr>
          <w:ilvl w:val="0"/>
          <w:numId w:val="2"/>
        </w:numPr>
        <w:spacing w:after="90"/>
      </w:pPr>
      <w:r>
        <w:rPr>
          <w:sz w:val="21"/>
          <w:szCs w:val="21"/>
        </w:rPr>
        <w:t xml:space="preserve">Applications are received on a rolling basis year round and approved quarterly. An application must be received by the end of a calendar quarter for that quarter’s round. Submitted through the Enterprise eGrants System.</w:t>
      </w:r>
    </w:p>
    <w:p>
      <w:pPr>
        <w:pStyle w:val="ListParagraph"/>
        <w:numPr>
          <w:ilvl w:val="0"/>
          <w:numId w:val="2"/>
        </w:numPr>
        <w:spacing w:after="90"/>
      </w:pPr>
      <w:r>
        <w:rPr>
          <w:sz w:val="21"/>
          <w:szCs w:val="21"/>
        </w:rPr>
        <w:t xml:space="preserve">Grant agreements must be electronically signed and returned within 45 days of the commitment letter or the offer may be withdrawn.</w:t>
      </w:r>
    </w:p>
    <w:p>
      <w:pPr>
        <w:pStyle w:val="ListParagraph"/>
        <w:numPr>
          <w:ilvl w:val="0"/>
          <w:numId w:val="2"/>
        </w:numPr>
        <w:spacing w:after="90"/>
      </w:pPr>
      <w:r>
        <w:rPr>
          <w:sz w:val="21"/>
          <w:szCs w:val="21"/>
        </w:rPr>
        <w:t xml:space="preserve">Award record. Over 146.4 million USD to 37 projects. Round 1 announced May 2025, Round 2 October 2025, Round 3 in February 2026 at over 31 million USD across seven projects. The programme was created after consultation with national site selectors.</w:t>
      </w:r>
    </w:p>
    <w:p>
      <w:pPr>
        <w:spacing w:after="200" w:before="80"/>
      </w:pPr>
      <w:r>
        <w:rPr>
          <w:i/>
          <w:iCs/>
          <w:color w:val="666666"/>
          <w:sz w:val="17"/>
          <w:szCs w:val="17"/>
        </w:rPr>
        <w:t xml:space="preserve">Source: dced.pa.gov PA SITES programme page and 2024 guidelines; pa.gov governor newsroom, Round 3; psats.org; delcopa.gov.</w:t>
      </w:r>
    </w:p>
    <w:p>
      <w:pPr>
        <w:pStyle w:val="Heading2"/>
        <w:spacing w:after="120" w:before="280"/>
      </w:pPr>
      <w:r>
        <w:rPr>
          <w:b/>
          <w:bCs/>
          <w:color w:val="B02020"/>
          <w:sz w:val="24"/>
          <w:szCs w:val="24"/>
        </w:rPr>
        <w:t xml:space="preserve">6.5 PIDA, RACP and Pennsylvania First</w:t>
      </w:r>
    </w:p>
    <w:p>
      <w:pPr>
        <w:spacing w:after="80" w:before="160"/>
      </w:pPr>
      <w:r>
        <w:rPr>
          <w:b/>
          <w:bCs/>
          <w:sz w:val="21"/>
          <w:szCs w:val="21"/>
        </w:rPr>
        <w:t xml:space="preserve">PIDA</w:t>
      </w:r>
    </w:p>
    <w:p>
      <w:pPr>
        <w:spacing w:after="140"/>
      </w:pPr>
      <w:r>
        <w:rPr>
          <w:sz w:val="21"/>
          <w:szCs w:val="21"/>
        </w:rPr>
        <w:t xml:space="preserve">Pennsylvania Industrial Development Authority, administered by the Department of Community and Economic Development. Low interest loans and lines of credit for eligible businesses committing to create or retain full time jobs, and for industrial parks and multi tenant facilities. Applications are packaged and underwritten by certified economic development organisations. Eligible costs cover land and building acquisition, construction and renovation, machinery and equipment, working capital and accounts receivable lines of credit, and multi tenant and industrial park projects. Eligible sectors include manufacturing, industrial, agricultural, research and development, hospitality, defense conversion, recycling, construction, child day care, retail and service, export, and computer related service enterprises. PIDA finances a portion of total eligible project costs, with maximum participation varying by use and enterprise type.</w:t>
      </w:r>
    </w:p>
    <w:p>
      <w:pPr>
        <w:spacing w:after="80" w:before="160"/>
      </w:pPr>
      <w:r>
        <w:rPr>
          <w:b/>
          <w:bCs/>
          <w:sz w:val="21"/>
          <w:szCs w:val="21"/>
        </w:rPr>
        <w:t xml:space="preserve">RACP</w:t>
      </w:r>
    </w:p>
    <w:p>
      <w:pPr>
        <w:spacing w:after="140"/>
      </w:pPr>
      <w:r>
        <w:rPr>
          <w:sz w:val="21"/>
          <w:szCs w:val="21"/>
        </w:rPr>
        <w:t xml:space="preserve">Redevelopment Assistance Capital Program, administered by the Office of the Budget. State grants for design, acquisition and construction of regional economic, cultural, civic, recreational and historical improvement projects with regional or multi jurisdictional impact. Projects must be authorised in a Capital Budget Itemization Act. Minimum total project cost 1 million USD. At least 50 per cent non state matching funds required. Projects able to obtain primary funding from PennDOT, PENNVEST, the Department of Community and Economic Development or other state agencies are generally restricted. Eligible applicants are redevelopment authorities, county industrial development authorities, local governments, public authorities, and certain local development districts and industrial development agencies, often partnering with private businesses or nonprofits. Applications through the e-RACP online system with a 500 USD fee. The 2025 round closed 23 September 2025 at 11.59pm and a 16 July 2026 update announced additional releases from that round. Two debt ceiling references conflict: Act 45 of 2017 mandated 50 million USD annual reductions, and a separate Independent Fiscal Office document references a request to raise the ceiling by 100 million USD a year to 2.65 billion USD by FY 2026 to 2027.</w:t>
      </w:r>
    </w:p>
    <w:p>
      <w:pPr>
        <w:spacing w:after="80" w:before="160"/>
      </w:pPr>
      <w:r>
        <w:rPr>
          <w:b/>
          <w:bCs/>
          <w:sz w:val="21"/>
          <w:szCs w:val="21"/>
        </w:rPr>
        <w:t xml:space="preserve">Pennsylvania First</w:t>
      </w:r>
    </w:p>
    <w:p>
      <w:pPr>
        <w:spacing w:after="140"/>
      </w:pPr>
      <w:r>
        <w:rPr>
          <w:sz w:val="21"/>
          <w:szCs w:val="21"/>
        </w:rPr>
        <w:t xml:space="preserve">A Department of Community and Economic Development grant deployed with the Governor’s Action Team. In the Bethlehem case, Bowery Farming received a 210,000 USD Pennsylvania First grant plus a 250,000 USD Enterprise Zone Tax Credit. Programme wide ceiling and cost share were not located.</w:t>
      </w:r>
    </w:p>
    <w:p>
      <w:pPr>
        <w:spacing w:after="200" w:before="80"/>
      </w:pPr>
      <w:r>
        <w:rPr>
          <w:i/>
          <w:iCs/>
          <w:color w:val="666666"/>
          <w:sz w:val="17"/>
          <w:szCs w:val="17"/>
        </w:rPr>
        <w:t xml:space="preserve">Source: dced.pa.gov PIDA; pa.gov Office of the Budget RACP; budget.pa.gov; foxrothschild.com; boroughs.org; ifo.state.pa.us; mrcpa.org.</w:t>
      </w:r>
    </w:p>
    <w:p>
      <w:r>
        <w:br w:type="page"/>
      </w:r>
    </w:p>
    <w:p>
      <w:pPr>
        <w:pStyle w:val="Heading1"/>
        <w:spacing w:after="160" w:before="380"/>
      </w:pPr>
      <w:r>
        <w:rPr>
          <w:b/>
          <w:bCs/>
          <w:color w:val="222222"/>
          <w:sz w:val="30"/>
          <w:szCs w:val="30"/>
        </w:rPr>
        <w:t xml:space="preserve">7. Utility efficiency and the public procurement route</w:t>
      </w:r>
    </w:p>
    <w:p>
      <w:pPr>
        <w:pStyle w:val="Heading2"/>
        <w:spacing w:after="120" w:before="280"/>
      </w:pPr>
      <w:r>
        <w:rPr>
          <w:b/>
          <w:bCs/>
          <w:color w:val="B02020"/>
          <w:sz w:val="24"/>
          <w:szCs w:val="24"/>
        </w:rPr>
        <w:t xml:space="preserve">7.1 Act 129</w:t>
      </w:r>
    </w:p>
    <w:p>
      <w:pPr>
        <w:spacing w:after="140"/>
      </w:pPr>
      <w:r>
        <w:rPr>
          <w:sz w:val="21"/>
          <w:szCs w:val="21"/>
        </w:rPr>
        <w:t xml:space="preserve">Act 129 of 2008, at 66 Pa. C.S. section 2806.1, with cost recovery under 66 Pa. C.S. section 1307. Administered by the electric distribution companies under Public Utility Commission oversight.</w:t>
      </w:r>
    </w:p>
    <w:p>
      <w:pPr>
        <w:spacing w:after="80" w:before="160"/>
      </w:pPr>
      <w:r>
        <w:rPr>
          <w:b/>
          <w:bCs/>
          <w:sz w:val="21"/>
          <w:szCs w:val="21"/>
        </w:rPr>
        <w:t xml:space="preserve">Phase position</w:t>
      </w:r>
    </w:p>
    <w:p>
      <w:pPr>
        <w:spacing w:after="140"/>
      </w:pPr>
      <w:r>
        <w:rPr>
          <w:sz w:val="21"/>
          <w:szCs w:val="21"/>
        </w:rPr>
        <w:t xml:space="preserve">Phase IV ran 1 June 2021 to 31 May 2026. Phase V began 1 June 2026 and runs to 31 May 2031, PECO adding or until funds run out. The Phase V Tentative Implementation Order came from the public meeting of 20 February 2025, Docket No. M-2025-3052826. Company dockets are Duquesne M-2025-3057325, FirstEnergy M-2025-3057327, PECO M-2025-3057328 and PPL M-2025-3057329.</w:t>
      </w:r>
    </w:p>
    <w:p>
      <w:pPr>
        <w:spacing w:after="80" w:before="160"/>
      </w:pPr>
      <w:r>
        <w:rPr>
          <w:b/>
          <w:bCs/>
          <w:sz w:val="21"/>
          <w:szCs w:val="21"/>
        </w:rPr>
        <w:t xml:space="preserve">PECO commercial and industrial structure</w:t>
      </w:r>
    </w:p>
    <w:p>
      <w:pPr>
        <w:pStyle w:val="ListParagraph"/>
        <w:numPr>
          <w:ilvl w:val="0"/>
          <w:numId w:val="2"/>
        </w:numPr>
        <w:spacing w:after="90"/>
      </w:pPr>
      <w:r>
        <w:rPr>
          <w:sz w:val="21"/>
          <w:szCs w:val="21"/>
        </w:rPr>
        <w:t xml:space="preserve">Prescriptive rebates for off the shelf equipment including LED lighting and controls, high efficiency HVAC, variable frequency drives and motors. A vendor source cites up to 150,000 USD per project.</w:t>
      </w:r>
    </w:p>
    <w:p>
      <w:pPr>
        <w:pStyle w:val="ListParagraph"/>
        <w:numPr>
          <w:ilvl w:val="0"/>
          <w:numId w:val="2"/>
        </w:numPr>
        <w:spacing w:after="90"/>
      </w:pPr>
      <w:r>
        <w:rPr>
          <w:sz w:val="21"/>
          <w:szCs w:val="21"/>
        </w:rPr>
        <w:t xml:space="preserve">Custom incentive track paying 0.06 to 0.12 USD per kWh of verified first year savings against a defined baseline, covering compressed air, chiller retrofits, building automation and process improvements.</w:t>
      </w:r>
    </w:p>
    <w:p>
      <w:pPr>
        <w:pStyle w:val="ListParagraph"/>
        <w:numPr>
          <w:ilvl w:val="0"/>
          <w:numId w:val="2"/>
        </w:numPr>
        <w:spacing w:after="90"/>
      </w:pPr>
      <w:r>
        <w:rPr>
          <w:sz w:val="21"/>
          <w:szCs w:val="21"/>
        </w:rPr>
        <w:t xml:space="preserve">Small Business Direct Install.</w:t>
      </w:r>
    </w:p>
    <w:p>
      <w:pPr>
        <w:pStyle w:val="ListParagraph"/>
        <w:numPr>
          <w:ilvl w:val="0"/>
          <w:numId w:val="2"/>
        </w:numPr>
        <w:spacing w:after="90"/>
      </w:pPr>
      <w:r>
        <w:rPr>
          <w:sz w:val="21"/>
          <w:szCs w:val="21"/>
        </w:rPr>
        <w:t xml:space="preserve">PECO states some natural gas fuelled equipment such as combined heat and power is eligible.</w:t>
      </w:r>
    </w:p>
    <w:p>
      <w:pPr>
        <w:spacing w:after="80" w:before="160"/>
      </w:pPr>
      <w:r>
        <w:rPr>
          <w:b/>
          <w:bCs/>
          <w:sz w:val="21"/>
          <w:szCs w:val="21"/>
        </w:rPr>
        <w:t xml:space="preserve">PPL and FirstEnergy</w:t>
      </w:r>
    </w:p>
    <w:p>
      <w:pPr>
        <w:spacing w:after="140"/>
      </w:pPr>
      <w:r>
        <w:rPr>
          <w:sz w:val="21"/>
          <w:szCs w:val="21"/>
        </w:rPr>
        <w:t xml:space="preserve">PPL runs the Business Energy Efficiency Program. Vendor sources describe FirstEnergy, covering Met-Ed, Penelec and Penn Power, with prescriptive rebates up to 60,000 USD per project, custom commercial and industrial studies funded at 50 per cent of cost, and combined heat and power feasibility and capacity incentives. These per project figures come from an energy services vendor blog rather than a utility tariff.</w:t>
      </w:r>
    </w:p>
    <w:p>
      <w:pPr>
        <w:spacing w:after="80" w:before="160"/>
      </w:pPr>
      <w:r>
        <w:rPr>
          <w:b/>
          <w:bCs/>
          <w:sz w:val="21"/>
          <w:szCs w:val="21"/>
        </w:rPr>
        <w:t xml:space="preserve">Measure qualification</w:t>
      </w:r>
    </w:p>
    <w:p>
      <w:pPr>
        <w:spacing w:after="140"/>
      </w:pPr>
      <w:r>
        <w:rPr>
          <w:sz w:val="21"/>
          <w:szCs w:val="21"/>
        </w:rPr>
        <w:t xml:space="preserve">Act 129 measures must be electricity saving and cost effective over a fifteen year screen with third party savings verification. Act 129 targets electric consumption and peak demand reduction and does not require reduction of direct natural gas use. Waste heat recovery and liquid cooling are not named as prescriptive measures in the sources gathered and would run through the custom track to the extent they produce verified electric savings.</w:t>
      </w:r>
    </w:p>
    <w:p>
      <w:pPr>
        <w:spacing w:after="200" w:before="80"/>
      </w:pPr>
      <w:r>
        <w:rPr>
          <w:i/>
          <w:iCs/>
          <w:color w:val="666666"/>
          <w:sz w:val="17"/>
          <w:szCs w:val="17"/>
        </w:rPr>
        <w:t xml:space="preserve">Source: puc.pa.gov energy efficiency and conservation programme page and Phase IV and V dockets; pecobizsavings.com; emergentenergy.us; keealliance.org.</w:t>
      </w:r>
    </w:p>
    <w:p>
      <w:pPr>
        <w:pStyle w:val="Heading2"/>
        <w:spacing w:after="120" w:before="280"/>
      </w:pPr>
      <w:r>
        <w:rPr>
          <w:b/>
          <w:bCs/>
          <w:color w:val="B02020"/>
          <w:sz w:val="24"/>
          <w:szCs w:val="24"/>
        </w:rPr>
        <w:t xml:space="preserve">7.2 Guaranteed Energy Savings Act</w:t>
      </w:r>
    </w:p>
    <w:p>
      <w:pPr>
        <w:spacing w:after="140"/>
      </w:pPr>
      <w:r>
        <w:rPr>
          <w:sz w:val="21"/>
          <w:szCs w:val="21"/>
        </w:rPr>
        <w:t xml:space="preserve">Originally Act 29 of 1996, P.L. 153. Now codified for political subdivisions at 62 Pa.C.S. sections 3751 to 3758. Act 57 of 1998 repealed Act 29 insofar as it related to Commonwealth agencies, moving that into Title 62. Amended by Act 77 of 2004 and Act 39 of 2010.</w:t>
      </w:r>
    </w:p>
    <w:p>
      <w:pPr>
        <w:spacing w:after="80" w:before="160"/>
      </w:pPr>
      <w:r>
        <w:rPr>
          <w:b/>
          <w:bCs/>
          <w:sz w:val="21"/>
          <w:szCs w:val="21"/>
        </w:rPr>
        <w:t xml:space="preserve">Who may procure</w:t>
      </w:r>
    </w:p>
    <w:p>
      <w:pPr>
        <w:spacing w:after="140"/>
      </w:pPr>
      <w:r>
        <w:rPr>
          <w:sz w:val="21"/>
          <w:szCs w:val="21"/>
        </w:rPr>
        <w:t xml:space="preserve">Commonwealth entities, political subdivisions, and authorities organised by the Commonwealth or by political subdivisions. That covers school districts, counties, municipalities, boroughs, incorporated towns, townships, authorities and other public instrumentalities with authority to contract for public works. It is a public procurement mechanism and private commercial entities are not eligible procurers.</w:t>
      </w:r>
    </w:p>
    <w:p>
      <w:pPr>
        <w:spacing w:after="80" w:before="160"/>
      </w:pPr>
      <w:r>
        <w:rPr>
          <w:b/>
          <w:bCs/>
          <w:sz w:val="21"/>
          <w:szCs w:val="21"/>
        </w:rPr>
        <w:t xml:space="preserve">Delivery structure</w:t>
      </w:r>
    </w:p>
    <w:p>
      <w:pPr>
        <w:spacing w:after="140"/>
      </w:pPr>
      <w:r>
        <w:rPr>
          <w:sz w:val="21"/>
          <w:szCs w:val="21"/>
        </w:rPr>
        <w:t xml:space="preserve">The contract is a guaranteed energy savings contract awarded to an energy services company through a request for proposal process, which operates as an exception to the Separations Act multi prime bidding requirement. The energy services company designs and implements the energy conservation measures. For Commonwealth agencies the Department of General Services Energy and Resource Management Office administers through an open enrollment Invitation to Qualify, Guaranteed Energy Savings Program 4400016426, in the JAGGAER system.</w:t>
      </w:r>
    </w:p>
    <w:p>
      <w:pPr>
        <w:spacing w:after="80" w:before="160"/>
      </w:pPr>
      <w:r>
        <w:rPr>
          <w:b/>
          <w:bCs/>
          <w:sz w:val="21"/>
          <w:szCs w:val="21"/>
        </w:rPr>
        <w:t xml:space="preserve">Measurement and verification</w:t>
      </w:r>
    </w:p>
    <w:p>
      <w:pPr>
        <w:spacing w:after="140"/>
      </w:pPr>
      <w:r>
        <w:rPr>
          <w:sz w:val="21"/>
          <w:szCs w:val="21"/>
        </w:rPr>
        <w:t xml:space="preserve">The owner must find that the amount expended on energy conservation measures does not exceed the amount of energy, water and wastewater cost savings, and operational cost savings. Projects are budget neutral and paid from future operational savings. Public notice of award is required in the Pennsylvania Bulletin within 30 days, or at least 10 days before a public meeting for entities acting at public meetings. Commonwealth Court has held that the Separations Act at 71 P.S. section 1618 is not superseded by the Guaranteed Energy Savings Act.</w:t>
      </w:r>
    </w:p>
    <w:p>
      <w:pPr>
        <w:spacing w:after="200" w:before="80"/>
      </w:pPr>
      <w:r>
        <w:rPr>
          <w:i/>
          <w:iCs/>
          <w:color w:val="666666"/>
          <w:sz w:val="17"/>
          <w:szCs w:val="17"/>
        </w:rPr>
        <w:t xml:space="preserve">Source: legis.state.pa.us Act 29 of 1996; pa.gov Department of General Services Energy and Resource Management; dmclaw.com; papubliccontracts.com; aceee.org.</w:t>
      </w:r>
    </w:p>
    <w:p>
      <w:r>
        <w:br w:type="page"/>
      </w:r>
    </w:p>
    <w:p>
      <w:pPr>
        <w:pStyle w:val="Heading1"/>
        <w:spacing w:after="160" w:before="380"/>
      </w:pPr>
      <w:r>
        <w:rPr>
          <w:b/>
          <w:bCs/>
          <w:color w:val="222222"/>
          <w:sz w:val="30"/>
          <w:szCs w:val="30"/>
        </w:rPr>
        <w:t xml:space="preserve">8. Tax position</w:t>
      </w:r>
    </w:p>
    <w:p>
      <w:pPr>
        <w:pStyle w:val="Heading2"/>
        <w:spacing w:after="120" w:before="280"/>
      </w:pPr>
      <w:r>
        <w:rPr>
          <w:b/>
          <w:bCs/>
          <w:color w:val="B02020"/>
          <w:sz w:val="24"/>
          <w:szCs w:val="24"/>
        </w:rPr>
        <w:t xml:space="preserve">8.1 Computer Data Center Equipment sales and use tax exemption</w:t>
      </w:r>
    </w:p>
    <w:p>
      <w:pPr>
        <w:spacing w:after="140"/>
      </w:pPr>
      <w:r>
        <w:rPr>
          <w:sz w:val="21"/>
          <w:szCs w:val="21"/>
        </w:rPr>
        <w:t xml:space="preserve">Administered by the Department of Revenue. Authorised under Act 84 of 2016, amended by Act 13 of 2019 and Act 25 of 2021, which converted it from a refund programme to a true exemption in the Tax Reform Code of 1971. Effective 1 January 2022.</w:t>
      </w:r>
    </w:p>
    <w:p>
      <w:pPr>
        <w:spacing w:after="80" w:before="160"/>
      </w:pPr>
      <w:r>
        <w:rPr>
          <w:b/>
          <w:bCs/>
          <w:sz w:val="21"/>
          <w:szCs w:val="21"/>
        </w:rPr>
        <w:t xml:space="preserve">Benefit</w:t>
      </w:r>
    </w:p>
    <w:p>
      <w:pPr>
        <w:spacing w:after="140"/>
      </w:pPr>
      <w:r>
        <w:rPr>
          <w:sz w:val="21"/>
          <w:szCs w:val="21"/>
        </w:rPr>
        <w:t xml:space="preserve">Exemption from the 6 per cent Pennsylvania sales and use tax on qualifying computer data center equipment, being servers, routers, power transformation, distribution and backup equipment, and related infrastructure, sold to, used or consumed in a certified data center by an owner, operator or qualified tenant holding a Computer Data Center Sales and Use Tax Certificate of Exemption.</w:t>
      </w:r>
    </w:p>
    <w:p>
      <w:pPr>
        <w:spacing w:after="80" w:before="160"/>
      </w:pPr>
      <w:r>
        <w:rPr>
          <w:b/>
          <w:bCs/>
          <w:sz w:val="21"/>
          <w:szCs w:val="21"/>
        </w:rPr>
        <w:t xml:space="preserve">Certification and thresholds</w:t>
      </w:r>
    </w:p>
    <w:p>
      <w:pPr>
        <w:pStyle w:val="ListParagraph"/>
        <w:numPr>
          <w:ilvl w:val="0"/>
          <w:numId w:val="2"/>
        </w:numPr>
        <w:spacing w:after="90"/>
      </w:pPr>
      <w:r>
        <w:rPr>
          <w:sz w:val="21"/>
          <w:szCs w:val="21"/>
        </w:rPr>
        <w:t xml:space="preserve">Application to the Department of Revenue. Certification is valid for 25 full calendar years following the year of application.</w:t>
      </w:r>
    </w:p>
    <w:p>
      <w:pPr>
        <w:pStyle w:val="ListParagraph"/>
        <w:numPr>
          <w:ilvl w:val="0"/>
          <w:numId w:val="2"/>
        </w:numPr>
        <w:spacing w:after="90"/>
      </w:pPr>
      <w:r>
        <w:rPr>
          <w:sz w:val="21"/>
          <w:szCs w:val="21"/>
        </w:rPr>
        <w:t xml:space="preserve">The entity must affirm it will meet eligibility requirements on or before the fourth anniversary of certification.</w:t>
      </w:r>
    </w:p>
    <w:p>
      <w:pPr>
        <w:pStyle w:val="ListParagraph"/>
        <w:numPr>
          <w:ilvl w:val="0"/>
          <w:numId w:val="2"/>
        </w:numPr>
        <w:spacing w:after="90"/>
      </w:pPr>
      <w:r>
        <w:rPr>
          <w:sz w:val="21"/>
          <w:szCs w:val="21"/>
        </w:rPr>
        <w:t xml:space="preserve">Counties of 250,000 population or fewer: 75 million USD new investment and 25 new full time jobs within four years.</w:t>
      </w:r>
    </w:p>
    <w:p>
      <w:pPr>
        <w:pStyle w:val="ListParagraph"/>
        <w:numPr>
          <w:ilvl w:val="0"/>
          <w:numId w:val="2"/>
        </w:numPr>
        <w:spacing w:after="90"/>
      </w:pPr>
      <w:r>
        <w:rPr>
          <w:sz w:val="21"/>
          <w:szCs w:val="21"/>
        </w:rPr>
        <w:t xml:space="preserve">Counties above 250,000: 100 million USD new investment and 45 new full time jobs within four years.</w:t>
      </w:r>
    </w:p>
    <w:p>
      <w:pPr>
        <w:pStyle w:val="ListParagraph"/>
        <w:numPr>
          <w:ilvl w:val="0"/>
          <w:numId w:val="2"/>
        </w:numPr>
        <w:spacing w:after="90"/>
      </w:pPr>
      <w:r>
        <w:rPr>
          <w:sz w:val="21"/>
          <w:szCs w:val="21"/>
        </w:rPr>
        <w:t xml:space="preserve">After the fourth anniversary, the facility must maintain at least 1 million USD in annual employee compensation at the certified site.</w:t>
      </w:r>
    </w:p>
    <w:p>
      <w:pPr>
        <w:pStyle w:val="ListParagraph"/>
        <w:numPr>
          <w:ilvl w:val="0"/>
          <w:numId w:val="2"/>
        </w:numPr>
        <w:spacing w:after="90"/>
      </w:pPr>
      <w:r>
        <w:rPr>
          <w:sz w:val="21"/>
          <w:szCs w:val="21"/>
        </w:rPr>
        <w:t xml:space="preserve">Qualified tenants: a two year agreement to use 100 kW a month, a threshold cited from the pre Act 25 refund programme.</w:t>
      </w:r>
    </w:p>
    <w:p>
      <w:pPr>
        <w:spacing w:after="80" w:before="160"/>
      </w:pPr>
      <w:r>
        <w:rPr>
          <w:b/>
          <w:bCs/>
          <w:sz w:val="21"/>
          <w:szCs w:val="21"/>
        </w:rPr>
        <w:t xml:space="preserve">Cap history</w:t>
      </w:r>
    </w:p>
    <w:p>
      <w:pPr>
        <w:spacing w:after="140"/>
      </w:pPr>
      <w:r>
        <w:rPr>
          <w:sz w:val="21"/>
          <w:szCs w:val="21"/>
        </w:rPr>
        <w:t xml:space="preserve">The incentive was a refund capped at 5 million USD when it first passed in 2016. The cap was raised to 7 million USD in 2019. As part of the 2021 budget deal the legislature rewrote the programme, removing the cap and making it an exemption rather than a refund. It is therefore uncapped as of Act 25 of 2021.</w:t>
      </w:r>
    </w:p>
    <w:p>
      <w:pPr>
        <w:spacing w:after="80" w:before="160"/>
      </w:pPr>
      <w:r>
        <w:rPr>
          <w:b/>
          <w:bCs/>
          <w:sz w:val="21"/>
          <w:szCs w:val="21"/>
        </w:rPr>
        <w:t xml:space="preserve">Fiscal scale</w:t>
      </w:r>
    </w:p>
    <w:p>
      <w:pPr>
        <w:spacing w:after="140"/>
      </w:pPr>
      <w:r>
        <w:rPr>
          <w:sz w:val="21"/>
          <w:szCs w:val="21"/>
        </w:rPr>
        <w:t xml:space="preserve">Per a Department of Revenue report, the exemption eliminated 41.1 million USD of revenue in 2024 to 2025 and is projected to eliminate 114.8 million USD in the current fiscal year, rising to a projected 517.2 million USD loss by FY 2030 to 2031. The report lists 13 beneficiaries in 2025 including Amazon Data Services and Iron Mountain Data Centers. A Senate co-sponsorship memo, number 48539, references reports of more than fifty new data centers added and proposed.</w:t>
      </w:r>
    </w:p>
    <w:p>
      <w:pPr>
        <w:spacing w:after="80" w:before="160"/>
      </w:pPr>
      <w:r>
        <w:rPr>
          <w:b/>
          <w:bCs/>
          <w:sz w:val="21"/>
          <w:szCs w:val="21"/>
        </w:rPr>
        <w:t xml:space="preserve">Repeal bill</w:t>
      </w:r>
    </w:p>
    <w:p>
      <w:pPr>
        <w:spacing w:after="140"/>
      </w:pPr>
      <w:r>
        <w:rPr>
          <w:sz w:val="21"/>
          <w:szCs w:val="21"/>
        </w:rPr>
        <w:t xml:space="preserve">HB 2198 would repeal the Computer Data Center Equipment Incentive Program from the Tax Reform Code. House final passage 25 June 2026 by 197 to 5, referred to Senate Finance 26 June 2026.</w:t>
      </w:r>
    </w:p>
    <w:p>
      <w:pPr>
        <w:spacing w:after="80" w:before="160"/>
      </w:pPr>
      <w:r>
        <w:rPr>
          <w:b/>
          <w:bCs/>
          <w:sz w:val="21"/>
          <w:szCs w:val="21"/>
        </w:rPr>
        <w:t xml:space="preserve">Local tax</w:t>
      </w:r>
    </w:p>
    <w:p>
      <w:pPr>
        <w:spacing w:after="140"/>
      </w:pPr>
      <w:r>
        <w:rPr>
          <w:sz w:val="21"/>
          <w:szCs w:val="21"/>
        </w:rPr>
        <w:t xml:space="preserve">Philadelphia levies 2 per cent and Allegheny County 1 per cent local sales tax on top of the 6 per cent state rate. Sources note it is not clearly addressed whether the exemption reaches the local portion.</w:t>
      </w:r>
    </w:p>
    <w:p>
      <w:pPr>
        <w:spacing w:after="200" w:before="80"/>
      </w:pPr>
      <w:r>
        <w:rPr>
          <w:i/>
          <w:iCs/>
          <w:color w:val="666666"/>
          <w:sz w:val="17"/>
          <w:szCs w:val="17"/>
        </w:rPr>
        <w:t xml:space="preserve">Source: pa.gov Department of Revenue; Spotlight PA; The Center Square and Altoona Mirror citing the Department of Revenue report; legiscan.com HB 2198.</w:t>
      </w:r>
    </w:p>
    <w:p>
      <w:pPr>
        <w:pStyle w:val="Heading2"/>
        <w:spacing w:after="120" w:before="280"/>
      </w:pPr>
      <w:r>
        <w:rPr>
          <w:b/>
          <w:bCs/>
          <w:color w:val="B02020"/>
          <w:sz w:val="24"/>
          <w:szCs w:val="24"/>
        </w:rPr>
        <w:t xml:space="preserve">8.2 Keystone Opportunity Zones</w:t>
      </w:r>
    </w:p>
    <w:p>
      <w:pPr>
        <w:spacing w:after="140"/>
      </w:pPr>
      <w:r>
        <w:rPr>
          <w:sz w:val="21"/>
          <w:szCs w:val="21"/>
        </w:rPr>
        <w:t xml:space="preserve">Designations by the Department of Community and Economic Development, tax administration by the Department of Revenue. First established 1999. Parcel specific abatement, exemption or credit of state and local taxes including corporate net income, sales and use tax for property used or consumed by the qualified business in the zone, and local property taxes, for the duration of the zone.</w:t>
      </w:r>
    </w:p>
    <w:p>
      <w:pPr>
        <w:pStyle w:val="ListParagraph"/>
        <w:numPr>
          <w:ilvl w:val="0"/>
          <w:numId w:val="2"/>
        </w:numPr>
        <w:spacing w:after="90"/>
      </w:pPr>
      <w:r>
        <w:rPr>
          <w:sz w:val="21"/>
          <w:szCs w:val="21"/>
        </w:rPr>
        <w:t xml:space="preserve">The programme is not currently accepting applications for new parcels to be designated. Contact is the Department of Community and Economic Development Keystone Opportunity Zone Manager.</w:t>
      </w:r>
    </w:p>
    <w:p>
      <w:pPr>
        <w:pStyle w:val="ListParagraph"/>
        <w:numPr>
          <w:ilvl w:val="0"/>
          <w:numId w:val="2"/>
        </w:numPr>
        <w:spacing w:after="90"/>
      </w:pPr>
      <w:r>
        <w:rPr>
          <w:sz w:val="21"/>
          <w:szCs w:val="21"/>
        </w:rPr>
        <w:t xml:space="preserve">Renewal and benefit applications must be filed by 31 December of each calendar year for which benefits are sought. Property owner, business and resident applications are completed online with the local coordinator. Corporate filers submit RCT-101 KOZ plus the approval letter.</w:t>
      </w:r>
    </w:p>
    <w:p>
      <w:pPr>
        <w:pStyle w:val="ListParagraph"/>
        <w:numPr>
          <w:ilvl w:val="0"/>
          <w:numId w:val="2"/>
        </w:numPr>
        <w:spacing w:after="90"/>
      </w:pPr>
      <w:r>
        <w:rPr>
          <w:sz w:val="21"/>
          <w:szCs w:val="21"/>
        </w:rPr>
        <w:t xml:space="preserve">Distinct from the federal Opportunity Zones programme. Pennsylvania has 300 federal Qualified Opportunity Zones effective through 31 December 2028, with about 217 new zones to be nominated in the second half of 2026, effective 1 January 2027.</w:t>
      </w:r>
    </w:p>
    <w:p>
      <w:pPr>
        <w:spacing w:after="200" w:before="80"/>
      </w:pPr>
      <w:r>
        <w:rPr>
          <w:i/>
          <w:iCs/>
          <w:color w:val="666666"/>
          <w:sz w:val="17"/>
          <w:szCs w:val="17"/>
        </w:rPr>
        <w:t xml:space="preserve">Source: pa.gov Department of Revenue Keystone Opportunity Zone page; dced.pa.gov; ncentral.com; opportunityzones.com.</w:t>
      </w:r>
    </w:p>
    <w:p>
      <w:pPr>
        <w:pStyle w:val="Heading2"/>
        <w:spacing w:after="120" w:before="280"/>
      </w:pPr>
      <w:r>
        <w:rPr>
          <w:b/>
          <w:bCs/>
          <w:color w:val="B02020"/>
          <w:sz w:val="24"/>
          <w:szCs w:val="24"/>
        </w:rPr>
        <w:t xml:space="preserve">8.3 LERTA</w:t>
      </w:r>
    </w:p>
    <w:p>
      <w:pPr>
        <w:spacing w:after="140"/>
      </w:pPr>
      <w:r>
        <w:rPr>
          <w:sz w:val="21"/>
          <w:szCs w:val="21"/>
        </w:rPr>
        <w:t xml:space="preserve">Local Economic Revitalization Tax Assistance, authorised under Act 76 of 1977, 72 P.S. section 4722 and following. Permits counties, municipalities and school districts to grant graduated abatements on the assessed value of new construction and improvements to deteriorated property. In South Bethlehem, South Side LERTA District II was approved in early 2023 by the City of Bethlehem, the Bethlehem Area School District and Northampton County, replacing a prior LERTA that ended 30 December 2022, focused on former Bethlehem Steel property. The typical structure is a ten year graduated abatement beginning at 100 per cent on improvement value and declining, with land taxes always paid.</w:t>
      </w:r>
    </w:p>
    <w:p>
      <w:pPr>
        <w:spacing w:after="200" w:before="80"/>
      </w:pPr>
      <w:r>
        <w:rPr>
          <w:i/>
          <w:iCs/>
          <w:color w:val="666666"/>
          <w:sz w:val="17"/>
          <w:szCs w:val="17"/>
        </w:rPr>
        <w:t xml:space="preserve">Source: wfmz.com; lehighvalleynews.com; Northampton County ordinance documents; City of Bethlehem LERTA overview.</w:t>
      </w:r>
    </w:p>
    <w:p>
      <w:r>
        <w:br w:type="page"/>
      </w:r>
    </w:p>
    <w:p>
      <w:pPr>
        <w:pStyle w:val="Heading1"/>
        <w:spacing w:after="160" w:before="380"/>
      </w:pPr>
      <w:r>
        <w:rPr>
          <w:b/>
          <w:bCs/>
          <w:color w:val="222222"/>
          <w:sz w:val="30"/>
          <w:szCs w:val="30"/>
        </w:rPr>
        <w:t xml:space="preserve">9. Agriculture and controlled environment growing</w:t>
      </w:r>
    </w:p>
    <w:p>
      <w:pPr>
        <w:pStyle w:val="Heading2"/>
        <w:spacing w:after="120" w:before="280"/>
      </w:pPr>
      <w:r>
        <w:rPr>
          <w:b/>
          <w:bCs/>
          <w:color w:val="B02020"/>
          <w:sz w:val="24"/>
          <w:szCs w:val="24"/>
        </w:rPr>
        <w:t xml:space="preserve">9.1 Agricultural Innovation Grant Program</w:t>
      </w:r>
    </w:p>
    <w:p>
      <w:pPr>
        <w:spacing w:after="140"/>
      </w:pPr>
      <w:r>
        <w:rPr>
          <w:sz w:val="21"/>
          <w:szCs w:val="21"/>
        </w:rPr>
        <w:t xml:space="preserve">Pennsylvania Department of Agriculture, described as the first agricultural innovation programme in the nation. The 2025 to 2026 budget includes a further 10 million USD, with a proposal to grow it to 19 million USD. The first round funded 88 projects statewide. Funds new agricultural technologies, conservation, and renewable and clean energy on farms. Eligible applicants are farmers and agriculture businesses, including diagnostic and management technology.</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120"/>
        <w:gridCol w:w="3120"/>
        <w:gridCol w:w="3120"/>
      </w:tblGrid>
      <w:tr>
        <w:trPr>
          <w:tblHeader/>
        </w:trPr>
        <w:tc>
          <w:tcPr>
            <w:tcW w:type="dxa" w:w="3120"/>
            <w:shd w:fill="F2F2F2" w:color="auto" w:val="clear"/>
            <w:tcMar>
              <w:top w:type="dxa" w:w="80"/>
              <w:left w:type="dxa" w:w="110"/>
              <w:bottom w:type="dxa" w:w="80"/>
              <w:right w:type="dxa" w:w="110"/>
            </w:tcMar>
          </w:tcPr>
          <w:p>
            <w:r>
              <w:rPr>
                <w:b/>
                <w:bCs/>
                <w:sz w:val="18"/>
                <w:szCs w:val="18"/>
              </w:rPr>
              <w:t xml:space="preserve">Grant type</w:t>
            </w:r>
          </w:p>
        </w:tc>
        <w:tc>
          <w:tcPr>
            <w:tcW w:type="dxa" w:w="3120"/>
            <w:shd w:fill="F2F2F2" w:color="auto" w:val="clear"/>
            <w:tcMar>
              <w:top w:type="dxa" w:w="80"/>
              <w:left w:type="dxa" w:w="110"/>
              <w:bottom w:type="dxa" w:w="80"/>
              <w:right w:type="dxa" w:w="110"/>
            </w:tcMar>
          </w:tcPr>
          <w:p>
            <w:r>
              <w:rPr>
                <w:b/>
                <w:bCs/>
                <w:sz w:val="18"/>
                <w:szCs w:val="18"/>
              </w:rPr>
              <w:t xml:space="preserve">Range</w:t>
            </w:r>
          </w:p>
        </w:tc>
        <w:tc>
          <w:tcPr>
            <w:tcW w:type="dxa" w:w="3120"/>
            <w:shd w:fill="F2F2F2" w:color="auto" w:val="clear"/>
            <w:tcMar>
              <w:top w:type="dxa" w:w="80"/>
              <w:left w:type="dxa" w:w="110"/>
              <w:bottom w:type="dxa" w:w="80"/>
              <w:right w:type="dxa" w:w="110"/>
            </w:tcMar>
          </w:tcPr>
          <w:p>
            <w:r>
              <w:rPr>
                <w:b/>
                <w:bCs/>
                <w:sz w:val="18"/>
                <w:szCs w:val="18"/>
              </w:rPr>
              <w:t xml:space="preserve">Match</w:t>
            </w:r>
          </w:p>
        </w:tc>
      </w:tr>
      <w:tr>
        <w:trPr>
          <w:tblHeader w:val="false"/>
        </w:trPr>
        <w:tc>
          <w:tcPr>
            <w:tcW w:type="dxa" w:w="3120"/>
            <w:tcMar>
              <w:top w:type="dxa" w:w="80"/>
              <w:left w:type="dxa" w:w="110"/>
              <w:bottom w:type="dxa" w:w="80"/>
              <w:right w:type="dxa" w:w="110"/>
            </w:tcMar>
          </w:tcPr>
          <w:p>
            <w:r>
              <w:rPr>
                <w:sz w:val="18"/>
                <w:szCs w:val="18"/>
              </w:rPr>
              <w:t xml:space="preserve">Strategic plan</w:t>
            </w:r>
          </w:p>
        </w:tc>
        <w:tc>
          <w:tcPr>
            <w:tcW w:type="dxa" w:w="3120"/>
            <w:tcMar>
              <w:top w:type="dxa" w:w="80"/>
              <w:left w:type="dxa" w:w="110"/>
              <w:bottom w:type="dxa" w:w="80"/>
              <w:right w:type="dxa" w:w="110"/>
            </w:tcMar>
          </w:tcPr>
          <w:p>
            <w:r>
              <w:rPr>
                <w:sz w:val="18"/>
                <w:szCs w:val="18"/>
              </w:rPr>
              <w:t xml:space="preserve">7,500 to 50,000 USD</w:t>
            </w:r>
          </w:p>
        </w:tc>
        <w:tc>
          <w:tcPr>
            <w:tcW w:type="dxa" w:w="3120"/>
            <w:tcMar>
              <w:top w:type="dxa" w:w="80"/>
              <w:left w:type="dxa" w:w="110"/>
              <w:bottom w:type="dxa" w:w="80"/>
              <w:right w:type="dxa" w:w="110"/>
            </w:tcMar>
          </w:tcPr>
          <w:p>
            <w:r>
              <w:rPr>
                <w:sz w:val="18"/>
                <w:szCs w:val="18"/>
              </w:rPr>
              <w:t xml:space="preserve">30 per cent non state</w:t>
            </w:r>
          </w:p>
        </w:tc>
      </w:tr>
      <w:tr>
        <w:trPr>
          <w:tblHeader w:val="false"/>
        </w:trPr>
        <w:tc>
          <w:tcPr>
            <w:tcW w:type="dxa" w:w="3120"/>
            <w:tcMar>
              <w:top w:type="dxa" w:w="80"/>
              <w:left w:type="dxa" w:w="110"/>
              <w:bottom w:type="dxa" w:w="80"/>
              <w:right w:type="dxa" w:w="110"/>
            </w:tcMar>
          </w:tcPr>
          <w:p>
            <w:r>
              <w:rPr>
                <w:sz w:val="18"/>
                <w:szCs w:val="18"/>
              </w:rPr>
              <w:t xml:space="preserve">On site or individual farm project</w:t>
            </w:r>
          </w:p>
        </w:tc>
        <w:tc>
          <w:tcPr>
            <w:tcW w:type="dxa" w:w="3120"/>
            <w:tcMar>
              <w:top w:type="dxa" w:w="80"/>
              <w:left w:type="dxa" w:w="110"/>
              <w:bottom w:type="dxa" w:w="80"/>
              <w:right w:type="dxa" w:w="110"/>
            </w:tcMar>
          </w:tcPr>
          <w:p>
            <w:r>
              <w:rPr>
                <w:sz w:val="18"/>
                <w:szCs w:val="18"/>
              </w:rPr>
              <w:t xml:space="preserve">5,000 to 200,000 USD</w:t>
            </w:r>
          </w:p>
        </w:tc>
        <w:tc>
          <w:tcPr>
            <w:tcW w:type="dxa" w:w="3120"/>
            <w:tcMar>
              <w:top w:type="dxa" w:w="80"/>
              <w:left w:type="dxa" w:w="110"/>
              <w:bottom w:type="dxa" w:w="80"/>
              <w:right w:type="dxa" w:w="110"/>
            </w:tcMar>
          </w:tcPr>
          <w:p>
            <w:r>
              <w:rPr>
                <w:sz w:val="18"/>
                <w:szCs w:val="18"/>
              </w:rPr>
              <w:t xml:space="preserve">30 per cent per the pa.gov services page, 50 per cent per the Pennsylvania Bulletin text. Conflict unresolved</w:t>
            </w:r>
          </w:p>
        </w:tc>
      </w:tr>
      <w:tr>
        <w:trPr>
          <w:tblHeader w:val="false"/>
        </w:trPr>
        <w:tc>
          <w:tcPr>
            <w:tcW w:type="dxa" w:w="3120"/>
            <w:tcMar>
              <w:top w:type="dxa" w:w="80"/>
              <w:left w:type="dxa" w:w="110"/>
              <w:bottom w:type="dxa" w:w="80"/>
              <w:right w:type="dxa" w:w="110"/>
            </w:tcMar>
          </w:tcPr>
          <w:p>
            <w:r>
              <w:rPr>
                <w:sz w:val="18"/>
                <w:szCs w:val="18"/>
              </w:rPr>
              <w:t xml:space="preserve">Regional impact project</w:t>
            </w:r>
          </w:p>
        </w:tc>
        <w:tc>
          <w:tcPr>
            <w:tcW w:type="dxa" w:w="3120"/>
            <w:tcMar>
              <w:top w:type="dxa" w:w="80"/>
              <w:left w:type="dxa" w:w="110"/>
              <w:bottom w:type="dxa" w:w="80"/>
              <w:right w:type="dxa" w:w="110"/>
            </w:tcMar>
          </w:tcPr>
          <w:p>
            <w:r>
              <w:rPr>
                <w:sz w:val="18"/>
                <w:szCs w:val="18"/>
              </w:rPr>
              <w:t xml:space="preserve">Not stated in sources</w:t>
            </w:r>
          </w:p>
        </w:tc>
        <w:tc>
          <w:tcPr>
            <w:tcW w:type="dxa" w:w="3120"/>
            <w:tcMar>
              <w:top w:type="dxa" w:w="80"/>
              <w:left w:type="dxa" w:w="110"/>
              <w:bottom w:type="dxa" w:w="80"/>
              <w:right w:type="dxa" w:w="110"/>
            </w:tcMar>
          </w:tcPr>
          <w:p>
            <w:r>
              <w:rPr>
                <w:sz w:val="18"/>
                <w:szCs w:val="18"/>
              </w:rPr>
              <w:t xml:space="preserve">Not stated in sources</w:t>
            </w:r>
          </w:p>
        </w:tc>
      </w:tr>
    </w:tbl>
    <w:p>
      <w:pPr>
        <w:pStyle w:val="Heading2"/>
        <w:spacing w:after="120" w:before="280"/>
      </w:pPr>
      <w:r>
        <w:rPr>
          <w:b/>
          <w:bCs/>
          <w:color w:val="B02020"/>
          <w:sz w:val="24"/>
          <w:szCs w:val="24"/>
        </w:rPr>
        <w:t xml:space="preserve">9.2 PA Farm Bill instruments</w:t>
      </w:r>
    </w:p>
    <w:p>
      <w:pPr>
        <w:spacing w:after="140"/>
      </w:pPr>
      <w:r>
        <w:rPr>
          <w:sz w:val="21"/>
          <w:szCs w:val="21"/>
        </w:rPr>
        <w:t xml:space="preserve">Agriculture Business Development Center. Realty Transfer Tax Exemption for preserved farmland transferred to qualified beginning farmers. PA Farm to School Grant. Agriculture and Youth Development Grant. Agriculture Linked Investment Program providing low interest conservation loans. Conservation Excellence Grant. Resource Enhancement and Protection tax credits. Pennsylvania Dairy Investment Program. Specialty Crop Block Grant. PA Preferred Homegrown by Heroes. PA Preferred Organic Initiative.</w:t>
      </w:r>
    </w:p>
    <w:p>
      <w:pPr>
        <w:pStyle w:val="Heading2"/>
        <w:spacing w:after="120" w:before="280"/>
      </w:pPr>
      <w:r>
        <w:rPr>
          <w:b/>
          <w:bCs/>
          <w:color w:val="B02020"/>
          <w:sz w:val="24"/>
          <w:szCs w:val="24"/>
        </w:rPr>
        <w:t xml:space="preserve">9.3 Fresh Food Financing Initiative</w:t>
      </w:r>
    </w:p>
    <w:p>
      <w:pPr>
        <w:spacing w:after="140"/>
      </w:pPr>
      <w:r>
        <w:rPr>
          <w:sz w:val="21"/>
          <w:szCs w:val="21"/>
        </w:rPr>
        <w:t xml:space="preserve">Administered by the Department of Community and Economic Development with the Department of Agriculture. Reimbursement grants of 5,000 to 200,000 USD at up to 85 per cent with a 15 per cent match, to nonprofit, for profit and cooperative food businesses selling fresh, staple and perishable food to consumers, being entities with 70 per cent or more of revenue from such sales, operating in Pennsylvania, with priority to food deserts. The cited round made 2 million USD available and closed 20 May 2026. The programme was reestablished with 6 million USD secured since 2023, and 3.4 million USD invested across 23 counties.</w:t>
      </w:r>
    </w:p>
    <w:p>
      <w:pPr>
        <w:pStyle w:val="Heading2"/>
        <w:spacing w:after="120" w:before="280"/>
      </w:pPr>
      <w:r>
        <w:rPr>
          <w:b/>
          <w:bCs/>
          <w:color w:val="B02020"/>
          <w:sz w:val="24"/>
          <w:szCs w:val="24"/>
        </w:rPr>
        <w:t xml:space="preserve">9.4 Eligibility of a restarted facility</w:t>
      </w:r>
    </w:p>
    <w:p>
      <w:pPr>
        <w:spacing w:after="140"/>
      </w:pPr>
      <w:r>
        <w:rPr>
          <w:sz w:val="21"/>
          <w:szCs w:val="21"/>
        </w:rPr>
        <w:t xml:space="preserve">Agricultural Innovation Grant and Fresh Food Financing Initiative eligibility is defined by activity, being farming or agriculture business and the sale of fresh food, and by Pennsylvania operation, not by whether a facility is new or restarted. Federal cost share programmes require a USDA farm number registration. No standalone greenhouse or indoor farming energy programme was identified beyond the Agricultural Innovation clean energy track.</w:t>
      </w:r>
    </w:p>
    <w:p>
      <w:pPr>
        <w:spacing w:after="200" w:before="80"/>
      </w:pPr>
      <w:r>
        <w:rPr>
          <w:i/>
          <w:iCs/>
          <w:color w:val="666666"/>
          <w:sz w:val="17"/>
          <w:szCs w:val="17"/>
        </w:rPr>
        <w:t xml:space="preserve">Source: pa.gov Department of Agriculture Agricultural Innovation, PA Farm Bill and Fresh Food Financing pages; pacodeandbulletin.gov; pavetfarms.org.</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10. Federal money through Pennsylvania</w:t>
      </w:r>
    </w:p>
    <w:p>
      <w:pPr>
        <w:pStyle w:val="ListParagraph"/>
        <w:numPr>
          <w:ilvl w:val="0"/>
          <w:numId w:val="2"/>
        </w:numPr>
        <w:spacing w:after="90"/>
      </w:pPr>
      <w:r>
        <w:rPr>
          <w:sz w:val="21"/>
          <w:szCs w:val="21"/>
        </w:rPr>
        <w:t xml:space="preserve">Climate Pollution Reduction Grants. 396.1 million USD to DEP for RISE PA, announced July 2024. Complements 250 million USD of planning grants in 2023 and 13.9 million USD of Community Change Grants to Pennsylvania in July 2024, to Pittsburgh Conservation Corps and PowerCorpsPHL.</w:t>
      </w:r>
    </w:p>
    <w:p>
      <w:pPr>
        <w:pStyle w:val="ListParagraph"/>
        <w:numPr>
          <w:ilvl w:val="0"/>
          <w:numId w:val="2"/>
        </w:numPr>
        <w:spacing w:after="90"/>
      </w:pPr>
      <w:r>
        <w:rPr>
          <w:sz w:val="21"/>
          <w:szCs w:val="21"/>
        </w:rPr>
        <w:t xml:space="preserve">Department of Energy Industrial Efficiency and Decarbonization Office. Runs competitive funding for industrial decarbonisation, waste heat recovery and efficiency, open to industrial sites nationally including Pennsylvania. No specific currently open Pennsylvania eligible solicitation was confirmed.</w:t>
      </w:r>
    </w:p>
    <w:p>
      <w:pPr>
        <w:pStyle w:val="ListParagraph"/>
        <w:numPr>
          <w:ilvl w:val="0"/>
          <w:numId w:val="2"/>
        </w:numPr>
        <w:spacing w:after="90"/>
      </w:pPr>
      <w:r>
        <w:rPr>
          <w:sz w:val="21"/>
          <w:szCs w:val="21"/>
        </w:rPr>
        <w:t xml:space="preserve">USDA Rural Energy for America Program. In March 2024 USDA announced 5.69 million USD for 31 energy efficiency and renewable energy projects across 12 Pennsylvania counties, within a 120 million USD national round. Eligible are agricultural producers earning at least 50 per cent of gross income from farming, and small businesses in eligible rural areas. Applicants must have no delinquent federal debt, taxes, judgments or debarments.</w:t>
      </w:r>
    </w:p>
    <w:p>
      <w:pPr>
        <w:pStyle w:val="ListParagraph"/>
        <w:numPr>
          <w:ilvl w:val="0"/>
          <w:numId w:val="2"/>
        </w:numPr>
        <w:spacing w:after="90"/>
      </w:pPr>
      <w:r>
        <w:rPr>
          <w:sz w:val="21"/>
          <w:szCs w:val="21"/>
        </w:rPr>
        <w:t xml:space="preserve">Green Bank for Rural America. A national entity capitalised under the Environmental Protection Agency Greenhouse Gas Reduction Fund Clean Communities Investment Accelerator, oriented to rural and energy communities including in Appalachian Pennsylvania. Administering entity and current status not confirmed.</w:t>
      </w:r>
    </w:p>
    <w:p>
      <w:pPr>
        <w:spacing w:after="200" w:before="80"/>
      </w:pPr>
      <w:r>
        <w:rPr>
          <w:i/>
          <w:iCs/>
          <w:color w:val="666666"/>
          <w:sz w:val="17"/>
          <w:szCs w:val="17"/>
        </w:rPr>
        <w:t xml:space="preserve">Source: epa.gov Climate Pollution Reduction Grant selections; sierraclub.org; penntap.psu.edu; aglaw.psu.edu; pa.gov governor newsroom.</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11. Water and rainwater</w:t>
      </w:r>
    </w:p>
    <w:p>
      <w:pPr>
        <w:spacing w:after="80" w:before="160"/>
      </w:pPr>
      <w:r>
        <w:rPr>
          <w:b/>
          <w:bCs/>
          <w:sz w:val="21"/>
          <w:szCs w:val="21"/>
        </w:rPr>
        <w:t xml:space="preserve">Legality</w:t>
      </w:r>
    </w:p>
    <w:p>
      <w:pPr>
        <w:spacing w:after="140"/>
      </w:pPr>
      <w:r>
        <w:rPr>
          <w:sz w:val="21"/>
          <w:szCs w:val="21"/>
        </w:rPr>
        <w:t xml:space="preserve">Rainwater harvesting is legal in Pennsylvania for non potable applications as permitted by the jurisdiction. There is no state prohibition. Water rights law addresses surface water and groundwater, not captured rainwater.</w:t>
      </w:r>
    </w:p>
    <w:p>
      <w:pPr>
        <w:spacing w:after="80" w:before="160"/>
      </w:pPr>
      <w:r>
        <w:rPr>
          <w:b/>
          <w:bCs/>
          <w:sz w:val="21"/>
          <w:szCs w:val="21"/>
        </w:rPr>
        <w:t xml:space="preserve">Code</w:t>
      </w:r>
    </w:p>
    <w:p>
      <w:pPr>
        <w:pStyle w:val="ListParagraph"/>
        <w:numPr>
          <w:ilvl w:val="0"/>
          <w:numId w:val="2"/>
        </w:numPr>
        <w:spacing w:after="90"/>
      </w:pPr>
      <w:r>
        <w:rPr>
          <w:sz w:val="21"/>
          <w:szCs w:val="21"/>
        </w:rPr>
        <w:t xml:space="preserve">The 2009 Plumbing Code of Pennsylvania, Section 1303, Nonpotable Rainwater Collection and Distribution Systems, based on the Uniform Plumbing Code, governs non potable rainwater systems.</w:t>
      </w:r>
    </w:p>
    <w:p>
      <w:pPr>
        <w:pStyle w:val="ListParagraph"/>
        <w:numPr>
          <w:ilvl w:val="0"/>
          <w:numId w:val="2"/>
        </w:numPr>
        <w:spacing w:after="90"/>
      </w:pPr>
      <w:r>
        <w:rPr>
          <w:sz w:val="21"/>
          <w:szCs w:val="21"/>
        </w:rPr>
        <w:t xml:space="preserve">Rainwater is excluded from the definition of drinking and potable water under the Pennsylvania Safe Drinking Water Act, 35 P.S. sections 721.1 to 721.17.</w:t>
      </w:r>
    </w:p>
    <w:p>
      <w:pPr>
        <w:pStyle w:val="ListParagraph"/>
        <w:numPr>
          <w:ilvl w:val="0"/>
          <w:numId w:val="2"/>
        </w:numPr>
        <w:spacing w:after="90"/>
      </w:pPr>
      <w:r>
        <w:rPr>
          <w:sz w:val="21"/>
          <w:szCs w:val="21"/>
        </w:rPr>
        <w:t xml:space="preserve">The Pennsylvania Residential Code, following IRC 2015 Chapter 29, sets requirements for non potable water systems, including 1.5 m (5 ft) separation from potable water and building sewer underground, colour, tag and tape identification reading caution, nonpotable water, do not drink, and decommissioning rules.</w:t>
      </w:r>
    </w:p>
    <w:p>
      <w:pPr>
        <w:pStyle w:val="ListParagraph"/>
        <w:numPr>
          <w:ilvl w:val="0"/>
          <w:numId w:val="2"/>
        </w:numPr>
        <w:spacing w:after="90"/>
      </w:pPr>
      <w:r>
        <w:rPr>
          <w:sz w:val="21"/>
          <w:szCs w:val="21"/>
        </w:rPr>
        <w:t xml:space="preserve">The Uniform Construction Code adopts the International Code Council family of codes. Local municipalities may impose additional requirements.</w:t>
      </w:r>
    </w:p>
    <w:p>
      <w:pPr>
        <w:spacing w:after="80" w:before="160"/>
      </w:pPr>
      <w:r>
        <w:rPr>
          <w:b/>
          <w:bCs/>
          <w:sz w:val="21"/>
          <w:szCs w:val="21"/>
        </w:rPr>
        <w:t xml:space="preserve">DEP permitting</w:t>
      </w:r>
    </w:p>
    <w:p>
      <w:pPr>
        <w:pStyle w:val="ListParagraph"/>
        <w:numPr>
          <w:ilvl w:val="0"/>
          <w:numId w:val="2"/>
        </w:numPr>
        <w:spacing w:after="90"/>
      </w:pPr>
      <w:r>
        <w:rPr>
          <w:sz w:val="21"/>
          <w:szCs w:val="21"/>
        </w:rPr>
        <w:t xml:space="preserve">Cisterns are not accepted as a potable water source for a noncommunity water system. Where used as finished water storage, Chapter 6 design standards apply under 25 Pa. Code section 109.</w:t>
      </w:r>
    </w:p>
    <w:p>
      <w:pPr>
        <w:pStyle w:val="ListParagraph"/>
        <w:numPr>
          <w:ilvl w:val="0"/>
          <w:numId w:val="2"/>
        </w:numPr>
        <w:spacing w:after="90"/>
      </w:pPr>
      <w:r>
        <w:rPr>
          <w:sz w:val="21"/>
          <w:szCs w:val="21"/>
        </w:rPr>
        <w:t xml:space="preserve">Earth disturbance of 1 acre or more, being 0.4 ha, triggers NPDES stormwater construction permit coverage under PAG-01 or PAG-02, per Chapter 102 and the Clean Streams Law. Five acres, being 2 ha, triggers an erosion and sediment permit in some categories.</w:t>
      </w:r>
    </w:p>
    <w:p>
      <w:pPr>
        <w:pStyle w:val="ListParagraph"/>
        <w:numPr>
          <w:ilvl w:val="0"/>
          <w:numId w:val="2"/>
        </w:numPr>
        <w:spacing w:after="90"/>
      </w:pPr>
      <w:r>
        <w:rPr>
          <w:sz w:val="21"/>
          <w:szCs w:val="21"/>
        </w:rPr>
        <w:t xml:space="preserve">The Pennsylvania Stormwater Best Management Practices Manual covers water reuse for non potable applications including fire protection.</w:t>
      </w:r>
    </w:p>
    <w:p>
      <w:pPr>
        <w:pStyle w:val="ListParagraph"/>
        <w:numPr>
          <w:ilvl w:val="0"/>
          <w:numId w:val="2"/>
        </w:numPr>
        <w:spacing w:after="90"/>
      </w:pPr>
      <w:r>
        <w:rPr>
          <w:sz w:val="21"/>
          <w:szCs w:val="21"/>
        </w:rPr>
        <w:t xml:space="preserve">No dedicated DEP permit pathway solely for harvested rainwater serving fertigation, toilet flushing or fire reserve at an industrial site was identified beyond plumbing code compliance, the potable source exclusion, and the earth disturbance rules.</w:t>
      </w:r>
    </w:p>
    <w:p>
      <w:pPr>
        <w:spacing w:after="80" w:before="160"/>
      </w:pPr>
      <w:r>
        <w:rPr>
          <w:b/>
          <w:bCs/>
          <w:sz w:val="21"/>
          <w:szCs w:val="21"/>
        </w:rPr>
        <w:t xml:space="preserve">Funding</w:t>
      </w:r>
    </w:p>
    <w:p>
      <w:pPr>
        <w:spacing w:after="140"/>
      </w:pPr>
      <w:r>
        <w:rPr>
          <w:sz w:val="21"/>
          <w:szCs w:val="21"/>
        </w:rPr>
        <w:t xml:space="preserve">PENNVEST finances water efficiency and green infrastructure including water meters, leak detection, water efficient fixtures and stormwater reuse. The City of Philadelphia offers stormwater grants covering rainwater collection, per a third party compilation.</w:t>
      </w:r>
    </w:p>
    <w:p>
      <w:pPr>
        <w:spacing w:after="200" w:before="80"/>
      </w:pPr>
      <w:r>
        <w:rPr>
          <w:i/>
          <w:iCs/>
          <w:color w:val="666666"/>
          <w:sz w:val="17"/>
          <w:szCs w:val="17"/>
        </w:rPr>
        <w:t xml:space="preserve">Source: pa.gov DEP construction stormwater; up.codes IRC 2015 Chapter 29; files.dep.state.pa.us Public Water Supply Manual; pioneerwatertanksamerica.com; worldwaterreserve.com.</w:t>
      </w:r>
    </w:p>
    <w:p>
      <w:r>
        <w:br w:type="page"/>
      </w:r>
    </w:p>
    <w:p>
      <w:pPr>
        <w:pStyle w:val="Heading1"/>
        <w:spacing w:after="160" w:before="380"/>
      </w:pPr>
      <w:r>
        <w:rPr>
          <w:b/>
          <w:bCs/>
          <w:color w:val="222222"/>
          <w:sz w:val="30"/>
          <w:szCs w:val="30"/>
        </w:rPr>
        <w:t xml:space="preserve">12. District energy in Philadelphia</w:t>
      </w:r>
    </w:p>
    <w:p>
      <w:pPr>
        <w:pStyle w:val="Heading2"/>
        <w:spacing w:after="120" w:before="280"/>
      </w:pPr>
      <w:r>
        <w:rPr>
          <w:b/>
          <w:bCs/>
          <w:color w:val="B02020"/>
          <w:sz w:val="24"/>
          <w:szCs w:val="24"/>
        </w:rPr>
        <w:t xml:space="preserve">12.1 The Vicinity system</w:t>
      </w:r>
    </w:p>
    <w:p>
      <w:pPr>
        <w:spacing w:after="140"/>
      </w:pPr>
      <w:r>
        <w:rPr>
          <w:sz w:val="21"/>
          <w:szCs w:val="21"/>
        </w:rPr>
        <w:t xml:space="preserve">Vicinity Energy operates Philadelphia’s district steam system, described by Vicinity as the third largest district steam heating system in the United States. It runs from a 1915 brick plant plus a 1997 combined cycle combined heat and power facility of 163 MW, being a 118 MW gas turbine and a 45 MW steam turbine, producing 635,000 kg per hour (1.4 million lb per hour) of steam, in the Grays Ferry section of South Philadelphia.</w:t>
      </w:r>
    </w:p>
    <w:p>
      <w:pPr>
        <w:pStyle w:val="ListParagraph"/>
        <w:numPr>
          <w:ilvl w:val="0"/>
          <w:numId w:val="2"/>
        </w:numPr>
        <w:spacing w:after="90"/>
      </w:pPr>
      <w:r>
        <w:rPr>
          <w:sz w:val="21"/>
          <w:szCs w:val="21"/>
        </w:rPr>
        <w:t xml:space="preserve">Per Vicinity, the Grays Ferry cogeneration facility serves over 6.7 million sq m (72 million sq ft) of building space with steam, including the Walnut Street Theatre, 2 Liberty Place and Jefferson Health.</w:t>
      </w:r>
    </w:p>
    <w:p>
      <w:pPr>
        <w:pStyle w:val="ListParagraph"/>
        <w:numPr>
          <w:ilvl w:val="0"/>
          <w:numId w:val="2"/>
        </w:numPr>
        <w:spacing w:after="90"/>
      </w:pPr>
      <w:r>
        <w:rPr>
          <w:sz w:val="21"/>
          <w:szCs w:val="21"/>
        </w:rPr>
        <w:t xml:space="preserve">Distribution is through a 66 km (41 mile) steam loop.</w:t>
      </w:r>
    </w:p>
    <w:p>
      <w:pPr>
        <w:pStyle w:val="ListParagraph"/>
        <w:numPr>
          <w:ilvl w:val="0"/>
          <w:numId w:val="2"/>
        </w:numPr>
        <w:spacing w:after="90"/>
      </w:pPr>
      <w:r>
        <w:rPr>
          <w:sz w:val="21"/>
          <w:szCs w:val="21"/>
        </w:rPr>
        <w:t xml:space="preserve">Schuylkill Station was integrated into the steam network in 1950.</w:t>
      </w:r>
    </w:p>
    <w:p>
      <w:pPr>
        <w:pStyle w:val="ListParagraph"/>
        <w:numPr>
          <w:ilvl w:val="0"/>
          <w:numId w:val="2"/>
        </w:numPr>
        <w:spacing w:after="90"/>
      </w:pPr>
      <w:r>
        <w:rPr>
          <w:sz w:val="21"/>
          <w:szCs w:val="21"/>
        </w:rPr>
        <w:t xml:space="preserve">Vicinity states the system avoids over 300,000 tons of carbon dioxide annually against individual on site gas boilers, and that the combined heat and power process is 20 per cent more efficient than the most advanced combined cycle gas turbine plants.</w:t>
      </w:r>
    </w:p>
    <w:p>
      <w:pPr>
        <w:pStyle w:val="Heading2"/>
        <w:spacing w:after="120" w:before="280"/>
      </w:pPr>
      <w:r>
        <w:rPr>
          <w:b/>
          <w:bCs/>
          <w:color w:val="B02020"/>
          <w:sz w:val="24"/>
          <w:szCs w:val="24"/>
        </w:rPr>
        <w:t xml:space="preserve">12.2 Decarbonisation programme</w:t>
      </w:r>
    </w:p>
    <w:p>
      <w:pPr>
        <w:spacing w:after="140"/>
      </w:pPr>
      <w:r>
        <w:rPr>
          <w:sz w:val="21"/>
          <w:szCs w:val="21"/>
        </w:rPr>
        <w:t xml:space="preserve">Vicinity launched eSteam, described as the first commercial renewable thermal energy product in the nation, and is electrifying Grays Ferry with electric boilers, molten salt thermal battery storage and industrial scale heat pumps, importing carbon free electricity through co located substations. Scoping and design began with a view to making eSteam available as early as 2025. The programme aligns with the Philadelphia carbon neutral by 2050 goal.</w:t>
      </w:r>
    </w:p>
    <w:p>
      <w:pPr>
        <w:pStyle w:val="Heading2"/>
        <w:spacing w:after="120" w:before="280"/>
      </w:pPr>
      <w:r>
        <w:rPr>
          <w:b/>
          <w:bCs/>
          <w:color w:val="B02020"/>
          <w:sz w:val="24"/>
          <w:szCs w:val="24"/>
        </w:rPr>
        <w:t xml:space="preserve">12.3 Regulatory position</w:t>
      </w:r>
    </w:p>
    <w:p>
      <w:pPr>
        <w:spacing w:after="140"/>
      </w:pPr>
      <w:r>
        <w:rPr>
          <w:sz w:val="21"/>
          <w:szCs w:val="21"/>
        </w:rPr>
        <w:t xml:space="preserve">In April 2023 the Public Utility Commission ruled on the Vicinity and Philadelphia Gas Works gas transportation rate dispute, requiring Philadelphia Gas Works to conduct a full rate case. The Philadelphia Gas Works diversification study was launched by the Philadelphia Office of Sustainability, which has stated the city can only reach its decarbonisation targets by reducing thermal energy emissions. No standalone City of Philadelphia programme funding district heating conversion or steam decarbonisation was identified beyond these policy initiatives.</w:t>
      </w:r>
    </w:p>
    <w:p>
      <w:pPr>
        <w:spacing w:after="200" w:before="80"/>
      </w:pPr>
      <w:r>
        <w:rPr>
          <w:i/>
          <w:iCs/>
          <w:color w:val="666666"/>
          <w:sz w:val="17"/>
          <w:szCs w:val="17"/>
        </w:rPr>
        <w:t xml:space="preserve">Source: vicinityenergy.us history, eSteam and Philadelphia Gas Works pages; whyy.org; npr.org; gridphilly.com; files.dep.state.pa.us Vicinity presentation.</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13. The Bethlehem site</w:t>
      </w:r>
    </w:p>
    <w:p>
      <w:pPr>
        <w:pStyle w:val="Heading2"/>
        <w:spacing w:after="120" w:before="280"/>
      </w:pPr>
      <w:r>
        <w:rPr>
          <w:b/>
          <w:bCs/>
          <w:color w:val="B02020"/>
          <w:sz w:val="24"/>
          <w:szCs w:val="24"/>
        </w:rPr>
        <w:t xml:space="preserve">13.1 Identity and closure record</w:t>
      </w:r>
    </w:p>
    <w:p>
      <w:pPr>
        <w:spacing w:after="140"/>
      </w:pPr>
      <w:r>
        <w:rPr>
          <w:sz w:val="21"/>
          <w:szCs w:val="21"/>
        </w:rPr>
        <w:t xml:space="preserve">The matching operation is Bowery Farming, Inc., a New York based vertical farming company, which operated a vertical farm in Lehigh Valley Industrial Park VII, part of the Bethlehem Commerce Center along Route 412 on former Bethlehem Steel land in Northampton County.</w:t>
      </w:r>
    </w:p>
    <w:p>
      <w:pPr>
        <w:spacing w:after="140"/>
      </w:pPr>
      <w:r>
        <w:rPr>
          <w:sz w:val="21"/>
          <w:szCs w:val="21"/>
        </w:rPr>
        <w:t xml:space="preserve">On closure timing, the record shows Bowery Farming ceasing operations across all facilities in late 2024, with a WARN notice for the Bethlehem site listing 104 layoffs effective 1 November 2024. The facility was also subject to an assignment for benefit of creditors process managed by Sherwood Partners. Bowery had taken 150 million USD of debt from KKR in early 2022. No source was located supporting a separate December 2025 closure of a Bethlehem area indoor or vertical farm. AeroFarms permanently closed its Virginia facility in December 2025, which is a different site.</w:t>
      </w:r>
    </w:p>
    <w:p>
      <w:pPr>
        <w:pStyle w:val="Heading2"/>
        <w:spacing w:after="120" w:before="280"/>
      </w:pPr>
      <w:r>
        <w:rPr>
          <w:b/>
          <w:bCs/>
          <w:color w:val="B02020"/>
          <w:sz w:val="24"/>
          <w:szCs w:val="24"/>
        </w:rPr>
        <w:t xml:space="preserve">13.2 Physical and utility position</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600"/>
        <w:gridCol w:w="6760"/>
      </w:tblGrid>
      <w:tr>
        <w:trPr>
          <w:tblHeader/>
        </w:trPr>
        <w:tc>
          <w:tcPr>
            <w:tcW w:type="dxa" w:w="2600"/>
            <w:shd w:fill="F2F2F2" w:color="auto" w:val="clear"/>
            <w:tcMar>
              <w:top w:type="dxa" w:w="80"/>
              <w:left w:type="dxa" w:w="110"/>
              <w:bottom w:type="dxa" w:w="80"/>
              <w:right w:type="dxa" w:w="110"/>
            </w:tcMar>
          </w:tcPr>
          <w:p>
            <w:r>
              <w:rPr>
                <w:b/>
                <w:bCs/>
                <w:sz w:val="18"/>
                <w:szCs w:val="18"/>
              </w:rPr>
              <w:t xml:space="preserve">Item</w:t>
            </w:r>
          </w:p>
        </w:tc>
        <w:tc>
          <w:tcPr>
            <w:tcW w:type="dxa" w:w="6760"/>
            <w:shd w:fill="F2F2F2" w:color="auto" w:val="clear"/>
            <w:tcMar>
              <w:top w:type="dxa" w:w="80"/>
              <w:left w:type="dxa" w:w="110"/>
              <w:bottom w:type="dxa" w:w="80"/>
              <w:right w:type="dxa" w:w="110"/>
            </w:tcMar>
          </w:tcPr>
          <w:p>
            <w:r>
              <w:rPr>
                <w:b/>
                <w:bCs/>
                <w:sz w:val="18"/>
                <w:szCs w:val="18"/>
              </w:rPr>
              <w:t xml:space="preserve">Position</w:t>
            </w:r>
          </w:p>
        </w:tc>
      </w:tr>
      <w:tr>
        <w:trPr>
          <w:tblHeader w:val="false"/>
        </w:trPr>
        <w:tc>
          <w:tcPr>
            <w:tcW w:type="dxa" w:w="2600"/>
            <w:tcMar>
              <w:top w:type="dxa" w:w="80"/>
              <w:left w:type="dxa" w:w="110"/>
              <w:bottom w:type="dxa" w:w="80"/>
              <w:right w:type="dxa" w:w="110"/>
            </w:tcMar>
          </w:tcPr>
          <w:p>
            <w:r>
              <w:rPr>
                <w:sz w:val="18"/>
                <w:szCs w:val="18"/>
              </w:rPr>
              <w:t xml:space="preserve">Address</w:t>
            </w:r>
          </w:p>
        </w:tc>
        <w:tc>
          <w:tcPr>
            <w:tcW w:type="dxa" w:w="6760"/>
            <w:tcMar>
              <w:top w:type="dxa" w:w="80"/>
              <w:left w:type="dxa" w:w="110"/>
              <w:bottom w:type="dxa" w:w="80"/>
              <w:right w:type="dxa" w:w="110"/>
            </w:tcMar>
          </w:tcPr>
          <w:p>
            <w:r>
              <w:rPr>
                <w:sz w:val="18"/>
                <w:szCs w:val="18"/>
              </w:rPr>
              <w:t xml:space="preserve">Current CBRE and aggregator lease listings use 1025 Feather Way, Bethlehem, PA 18015. Lehigh Valley Business opening day coverage gives 1925 Feather Way. Parcel identifier not located in public sources</w:t>
            </w:r>
          </w:p>
        </w:tc>
      </w:tr>
      <w:tr>
        <w:trPr>
          <w:tblHeader w:val="false"/>
        </w:trPr>
        <w:tc>
          <w:tcPr>
            <w:tcW w:type="dxa" w:w="2600"/>
            <w:tcMar>
              <w:top w:type="dxa" w:w="80"/>
              <w:left w:type="dxa" w:w="110"/>
              <w:bottom w:type="dxa" w:w="80"/>
              <w:right w:type="dxa" w:w="110"/>
            </w:tcMar>
          </w:tcPr>
          <w:p>
            <w:r>
              <w:rPr>
                <w:sz w:val="18"/>
                <w:szCs w:val="18"/>
              </w:rPr>
              <w:t xml:space="preserve">Floor area</w:t>
            </w:r>
          </w:p>
        </w:tc>
        <w:tc>
          <w:tcPr>
            <w:tcW w:type="dxa" w:w="6760"/>
            <w:tcMar>
              <w:top w:type="dxa" w:w="80"/>
              <w:left w:type="dxa" w:w="110"/>
              <w:bottom w:type="dxa" w:w="80"/>
              <w:right w:type="dxa" w:w="110"/>
            </w:tcMar>
          </w:tcPr>
          <w:p>
            <w:r>
              <w:rPr>
                <w:sz w:val="18"/>
                <w:szCs w:val="18"/>
              </w:rPr>
              <w:t xml:space="preserve">13,935 sq m (150,000 sq ft) per the state, Lehigh Valley Business and CBRE. 14,494 sq m (156,000 sq ft) per developer J.G. Petrucci and Lehigh Valley Style</w:t>
            </w:r>
          </w:p>
        </w:tc>
      </w:tr>
      <w:tr>
        <w:trPr>
          <w:tblHeader w:val="false"/>
        </w:trPr>
        <w:tc>
          <w:tcPr>
            <w:tcW w:type="dxa" w:w="2600"/>
            <w:tcMar>
              <w:top w:type="dxa" w:w="80"/>
              <w:left w:type="dxa" w:w="110"/>
              <w:bottom w:type="dxa" w:w="80"/>
              <w:right w:type="dxa" w:w="110"/>
            </w:tcMar>
          </w:tcPr>
          <w:p>
            <w:r>
              <w:rPr>
                <w:sz w:val="18"/>
                <w:szCs w:val="18"/>
              </w:rPr>
              <w:t xml:space="preserve">Site area</w:t>
            </w:r>
          </w:p>
        </w:tc>
        <w:tc>
          <w:tcPr>
            <w:tcW w:type="dxa" w:w="6760"/>
            <w:tcMar>
              <w:top w:type="dxa" w:w="80"/>
              <w:left w:type="dxa" w:w="110"/>
              <w:bottom w:type="dxa" w:w="80"/>
              <w:right w:type="dxa" w:w="110"/>
            </w:tcMar>
          </w:tcPr>
          <w:p>
            <w:r>
              <w:rPr>
                <w:sz w:val="18"/>
                <w:szCs w:val="18"/>
              </w:rPr>
              <w:t xml:space="preserve">3.5 ha (8.7 acres)</w:t>
            </w:r>
          </w:p>
        </w:tc>
      </w:tr>
      <w:tr>
        <w:trPr>
          <w:tblHeader w:val="false"/>
        </w:trPr>
        <w:tc>
          <w:tcPr>
            <w:tcW w:type="dxa" w:w="2600"/>
            <w:tcMar>
              <w:top w:type="dxa" w:w="80"/>
              <w:left w:type="dxa" w:w="110"/>
              <w:bottom w:type="dxa" w:w="80"/>
              <w:right w:type="dxa" w:w="110"/>
            </w:tcMar>
          </w:tcPr>
          <w:p>
            <w:r>
              <w:rPr>
                <w:sz w:val="18"/>
                <w:szCs w:val="18"/>
              </w:rPr>
              <w:t xml:space="preserve">Original investment and jobs</w:t>
            </w:r>
          </w:p>
        </w:tc>
        <w:tc>
          <w:tcPr>
            <w:tcW w:type="dxa" w:w="6760"/>
            <w:tcMar>
              <w:top w:type="dxa" w:w="80"/>
              <w:left w:type="dxa" w:w="110"/>
              <w:bottom w:type="dxa" w:w="80"/>
              <w:right w:type="dxa" w:w="110"/>
            </w:tcMar>
          </w:tcPr>
          <w:p>
            <w:r>
              <w:rPr>
                <w:sz w:val="18"/>
                <w:szCs w:val="18"/>
              </w:rPr>
              <w:t xml:space="preserve">About 32 million USD, about 70 jobs at 2022 opening</w:t>
            </w:r>
          </w:p>
        </w:tc>
      </w:tr>
      <w:tr>
        <w:trPr>
          <w:tblHeader w:val="false"/>
        </w:trPr>
        <w:tc>
          <w:tcPr>
            <w:tcW w:type="dxa" w:w="2600"/>
            <w:tcMar>
              <w:top w:type="dxa" w:w="80"/>
              <w:left w:type="dxa" w:w="110"/>
              <w:bottom w:type="dxa" w:w="80"/>
              <w:right w:type="dxa" w:w="110"/>
            </w:tcMar>
          </w:tcPr>
          <w:p>
            <w:r>
              <w:rPr>
                <w:sz w:val="18"/>
                <w:szCs w:val="18"/>
              </w:rPr>
              <w:t xml:space="preserve">Ownership and marketing</w:t>
            </w:r>
          </w:p>
        </w:tc>
        <w:tc>
          <w:tcPr>
            <w:tcW w:type="dxa" w:w="6760"/>
            <w:tcMar>
              <w:top w:type="dxa" w:w="80"/>
              <w:left w:type="dxa" w:w="110"/>
              <w:bottom w:type="dxa" w:w="80"/>
              <w:right w:type="dxa" w:w="110"/>
            </w:tcMar>
          </w:tcPr>
          <w:p>
            <w:r>
              <w:rPr>
                <w:sz w:val="18"/>
                <w:szCs w:val="18"/>
              </w:rPr>
              <w:t xml:space="preserve">Developed as a build to suit by J.G. Petrucci Company, Inc. Marketed for lease by CBRE as a fully constructed food grade facility of about 13,935 sq m (150,000 sq ft), listing ID US-SMPL-180304, available immediately, pricing on request</w:t>
            </w:r>
          </w:p>
        </w:tc>
      </w:tr>
      <w:tr>
        <w:trPr>
          <w:tblHeader w:val="false"/>
        </w:trPr>
        <w:tc>
          <w:tcPr>
            <w:tcW w:type="dxa" w:w="2600"/>
            <w:tcMar>
              <w:top w:type="dxa" w:w="80"/>
              <w:left w:type="dxa" w:w="110"/>
              <w:bottom w:type="dxa" w:w="80"/>
              <w:right w:type="dxa" w:w="110"/>
            </w:tcMar>
          </w:tcPr>
          <w:p>
            <w:r>
              <w:rPr>
                <w:sz w:val="18"/>
                <w:szCs w:val="18"/>
              </w:rPr>
              <w:t xml:space="preserve">Stated services</w:t>
            </w:r>
          </w:p>
        </w:tc>
        <w:tc>
          <w:tcPr>
            <w:tcW w:type="dxa" w:w="6760"/>
            <w:tcMar>
              <w:top w:type="dxa" w:w="80"/>
              <w:left w:type="dxa" w:w="110"/>
              <w:bottom w:type="dxa" w:w="80"/>
              <w:right w:type="dxa" w:w="110"/>
            </w:tcMar>
          </w:tcPr>
          <w:p>
            <w:r>
              <w:rPr>
                <w:sz w:val="18"/>
                <w:szCs w:val="18"/>
              </w:rPr>
              <w:t xml:space="preserve">12,000 amps of power, temperature controlled coolers, processing rooms. About 2.3 km (1.4 miles) from I-78 Exit 67</w:t>
            </w:r>
          </w:p>
        </w:tc>
      </w:tr>
      <w:tr>
        <w:trPr>
          <w:tblHeader w:val="false"/>
        </w:trPr>
        <w:tc>
          <w:tcPr>
            <w:tcW w:type="dxa" w:w="2600"/>
            <w:tcMar>
              <w:top w:type="dxa" w:w="80"/>
              <w:left w:type="dxa" w:w="110"/>
              <w:bottom w:type="dxa" w:w="80"/>
              <w:right w:type="dxa" w:w="110"/>
            </w:tcMar>
          </w:tcPr>
          <w:p>
            <w:r>
              <w:rPr>
                <w:sz w:val="18"/>
                <w:szCs w:val="18"/>
              </w:rPr>
              <w:t xml:space="preserve">Electricity</w:t>
            </w:r>
          </w:p>
        </w:tc>
        <w:tc>
          <w:tcPr>
            <w:tcW w:type="dxa" w:w="6760"/>
            <w:tcMar>
              <w:top w:type="dxa" w:w="80"/>
              <w:left w:type="dxa" w:w="110"/>
              <w:bottom w:type="dxa" w:w="80"/>
              <w:right w:type="dxa" w:w="110"/>
            </w:tcMar>
          </w:tcPr>
          <w:p>
            <w:r>
              <w:rPr>
                <w:sz w:val="18"/>
                <w:szCs w:val="18"/>
              </w:rPr>
              <w:t xml:space="preserve">Met-Ed, Metropolitan Edison Company, a FirstEnergy company, is the incumbent electric distribution utility. Generation supply is competitive</w:t>
            </w:r>
          </w:p>
        </w:tc>
      </w:tr>
      <w:tr>
        <w:trPr>
          <w:tblHeader w:val="false"/>
        </w:trPr>
        <w:tc>
          <w:tcPr>
            <w:tcW w:type="dxa" w:w="2600"/>
            <w:tcMar>
              <w:top w:type="dxa" w:w="80"/>
              <w:left w:type="dxa" w:w="110"/>
              <w:bottom w:type="dxa" w:w="80"/>
              <w:right w:type="dxa" w:w="110"/>
            </w:tcMar>
          </w:tcPr>
          <w:p>
            <w:r>
              <w:rPr>
                <w:sz w:val="18"/>
                <w:szCs w:val="18"/>
              </w:rPr>
              <w:t xml:space="preserve">Gas</w:t>
            </w:r>
          </w:p>
        </w:tc>
        <w:tc>
          <w:tcPr>
            <w:tcW w:type="dxa" w:w="6760"/>
            <w:tcMar>
              <w:top w:type="dxa" w:w="80"/>
              <w:left w:type="dxa" w:w="110"/>
              <w:bottom w:type="dxa" w:w="80"/>
              <w:right w:type="dxa" w:w="110"/>
            </w:tcMar>
          </w:tcPr>
          <w:p>
            <w:r>
              <w:rPr>
                <w:sz w:val="18"/>
                <w:szCs w:val="18"/>
              </w:rPr>
              <w:t xml:space="preserve">UGI Utilities, Inc. serves Bethlehem</w:t>
            </w:r>
          </w:p>
        </w:tc>
      </w:tr>
      <w:tr>
        <w:trPr>
          <w:tblHeader w:val="false"/>
        </w:trPr>
        <w:tc>
          <w:tcPr>
            <w:tcW w:type="dxa" w:w="2600"/>
            <w:tcMar>
              <w:top w:type="dxa" w:w="80"/>
              <w:left w:type="dxa" w:w="110"/>
              <w:bottom w:type="dxa" w:w="80"/>
              <w:right w:type="dxa" w:w="110"/>
            </w:tcMar>
          </w:tcPr>
          <w:p>
            <w:r>
              <w:rPr>
                <w:sz w:val="18"/>
                <w:szCs w:val="18"/>
              </w:rPr>
              <w:t xml:space="preserve">Existing heating plant</w:t>
            </w:r>
          </w:p>
        </w:tc>
        <w:tc>
          <w:tcPr>
            <w:tcW w:type="dxa" w:w="6760"/>
            <w:tcMar>
              <w:top w:type="dxa" w:w="80"/>
              <w:left w:type="dxa" w:w="110"/>
              <w:bottom w:type="dxa" w:w="80"/>
              <w:right w:type="dxa" w:w="110"/>
            </w:tcMar>
          </w:tcPr>
          <w:p>
            <w:r>
              <w:rPr>
                <w:sz w:val="18"/>
                <w:szCs w:val="18"/>
              </w:rPr>
              <w:t xml:space="preserve">Not published. Listings cite temperature controlled coolers, processing rooms and the 12,000 amp service. Specific boilers, rooftop units or fuel not in public sources</w:t>
            </w:r>
          </w:p>
        </w:tc>
      </w:tr>
      <w:tr>
        <w:trPr>
          <w:tblHeader w:val="false"/>
        </w:trPr>
        <w:tc>
          <w:tcPr>
            <w:tcW w:type="dxa" w:w="2600"/>
            <w:tcMar>
              <w:top w:type="dxa" w:w="80"/>
              <w:left w:type="dxa" w:w="110"/>
              <w:bottom w:type="dxa" w:w="80"/>
              <w:right w:type="dxa" w:w="110"/>
            </w:tcMar>
          </w:tcPr>
          <w:p>
            <w:r>
              <w:rPr>
                <w:sz w:val="18"/>
                <w:szCs w:val="18"/>
              </w:rPr>
              <w:t xml:space="preserve">Site services</w:t>
            </w:r>
          </w:p>
        </w:tc>
        <w:tc>
          <w:tcPr>
            <w:tcW w:type="dxa" w:w="6760"/>
            <w:tcMar>
              <w:top w:type="dxa" w:w="80"/>
              <w:left w:type="dxa" w:w="110"/>
              <w:bottom w:type="dxa" w:w="80"/>
              <w:right w:type="dxa" w:w="110"/>
            </w:tcMar>
          </w:tcPr>
          <w:p>
            <w:r>
              <w:rPr>
                <w:sz w:val="18"/>
                <w:szCs w:val="18"/>
              </w:rPr>
              <w:t xml:space="preserve">Lehigh Valley Industrial Park VII sites were prepared with roads, electric, gas, water and fibre</w:t>
            </w:r>
          </w:p>
        </w:tc>
      </w:tr>
    </w:tbl>
    <w:p>
      <w:pPr>
        <w:pStyle w:val="Heading2"/>
        <w:spacing w:after="120" w:before="280"/>
      </w:pPr>
      <w:r>
        <w:rPr>
          <w:b/>
          <w:bCs/>
          <w:color w:val="B02020"/>
          <w:sz w:val="24"/>
          <w:szCs w:val="24"/>
        </w:rPr>
        <w:t xml:space="preserve">13.3 Zoning and designations</w:t>
      </w:r>
    </w:p>
    <w:p>
      <w:pPr>
        <w:spacing w:after="140"/>
      </w:pPr>
      <w:r>
        <w:rPr>
          <w:sz w:val="21"/>
          <w:szCs w:val="21"/>
        </w:rPr>
        <w:t xml:space="preserve">The Bethlehem Commerce Center and former Steel land fall within the Bethlehem Industrial Redevelopment family of zones. In 2003 about 206 ha (509 acres) were rezoned from Heavy Industrial to Industrial Redevelopment Flexible. The Industrial Redevelopment zone was created in 1996 during the Bethlehem Steel closure. The exact designation for the specific parcel is to be confirmed with City of Bethlehem Planning and Zoning.</w:t>
      </w:r>
    </w:p>
    <w:p>
      <w:pPr>
        <w:spacing w:after="140"/>
      </w:pPr>
      <w:r>
        <w:rPr>
          <w:sz w:val="21"/>
          <w:szCs w:val="21"/>
        </w:rPr>
        <w:t xml:space="preserve">Lehigh Valley Industrial Park markets a Keystone Innovation Zone association. The Southside Bethlehem Keystone Innovation Zone, created 2004, is described as covering the majority of South Bethlehem centred on Lehigh University and Northampton Community College, offering up to 100,000 USD a year in sellable state tax credits for technology and life science firms less than eight years old. No active Keystone Opportunity Zone designation for the specific parcel was confirmed.</w:t>
      </w:r>
    </w:p>
    <w:p>
      <w:pPr>
        <w:pStyle w:val="Heading2"/>
        <w:spacing w:after="120" w:before="280"/>
      </w:pPr>
      <w:r>
        <w:rPr>
          <w:b/>
          <w:bCs/>
          <w:color w:val="B02020"/>
          <w:sz w:val="24"/>
          <w:szCs w:val="24"/>
        </w:rPr>
        <w:t xml:space="preserve">13.4 Local instruments</w:t>
      </w:r>
    </w:p>
    <w:p>
      <w:pPr>
        <w:pStyle w:val="ListParagraph"/>
        <w:numPr>
          <w:ilvl w:val="0"/>
          <w:numId w:val="2"/>
        </w:numPr>
        <w:spacing w:after="90"/>
      </w:pPr>
      <w:r>
        <w:rPr>
          <w:sz w:val="21"/>
          <w:szCs w:val="21"/>
        </w:rPr>
        <w:t xml:space="preserve">Northampton County C-PACE, Resolution 46-2019, Sustainable Energy Fund administrator.</w:t>
      </w:r>
    </w:p>
    <w:p>
      <w:pPr>
        <w:pStyle w:val="ListParagraph"/>
        <w:numPr>
          <w:ilvl w:val="0"/>
          <w:numId w:val="2"/>
        </w:numPr>
        <w:spacing w:after="90"/>
      </w:pPr>
      <w:r>
        <w:rPr>
          <w:sz w:val="21"/>
          <w:szCs w:val="21"/>
        </w:rPr>
        <w:t xml:space="preserve">South Side LERTA District II, approved early 2023, focused on former Bethlehem Steel property, typically a ten year graduated abatement.</w:t>
      </w:r>
    </w:p>
    <w:p>
      <w:pPr>
        <w:pStyle w:val="ListParagraph"/>
        <w:numPr>
          <w:ilvl w:val="0"/>
          <w:numId w:val="2"/>
        </w:numPr>
        <w:spacing w:after="90"/>
      </w:pPr>
      <w:r>
        <w:rPr>
          <w:sz w:val="21"/>
          <w:szCs w:val="21"/>
        </w:rPr>
        <w:t xml:space="preserve">BEDCO revolving loan fund, seeded by a 250,000 USD BB&amp;T Economic Growth Fund grant, for blighted South Side properties.</w:t>
      </w:r>
    </w:p>
    <w:p>
      <w:pPr>
        <w:pStyle w:val="ListParagraph"/>
        <w:numPr>
          <w:ilvl w:val="0"/>
          <w:numId w:val="2"/>
        </w:numPr>
        <w:spacing w:after="90"/>
      </w:pPr>
      <w:r>
        <w:rPr>
          <w:sz w:val="21"/>
          <w:szCs w:val="21"/>
        </w:rPr>
        <w:t xml:space="preserve">Northampton County brownfield Revolving Loan Fund, supplemented by the Environmental Protection Agency.</w:t>
      </w:r>
    </w:p>
    <w:p>
      <w:pPr>
        <w:pStyle w:val="ListParagraph"/>
        <w:numPr>
          <w:ilvl w:val="0"/>
          <w:numId w:val="2"/>
        </w:numPr>
        <w:spacing w:after="90"/>
      </w:pPr>
      <w:r>
        <w:rPr>
          <w:sz w:val="21"/>
          <w:szCs w:val="21"/>
        </w:rPr>
        <w:t xml:space="preserve">Lehigh Valley Industrial Park VII is a 405 ha (1,000 acre) component of the Bethlehem Commerce Center on the former Bethlehem Steel plant, described as once the largest single owner brownfield in the country, supported by the Lehigh Valley Land Recycling Initiative running since 1998.</w:t>
      </w:r>
    </w:p>
    <w:p>
      <w:pPr>
        <w:pStyle w:val="ListParagraph"/>
        <w:numPr>
          <w:ilvl w:val="0"/>
          <w:numId w:val="2"/>
        </w:numPr>
        <w:spacing w:after="90"/>
      </w:pPr>
      <w:r>
        <w:rPr>
          <w:sz w:val="21"/>
          <w:szCs w:val="21"/>
        </w:rPr>
        <w:t xml:space="preserve">Lehigh Valley Economic Development Corporation offers a development incentives and financing gateway covering grants, loans, tax credits, a Foreign Trade Zone, federal Qualified Opportunity Zones in Allentown, Bethlehem and Easton, and PIDA. It provides fixed rate loans of up to 20 years for construction and renovation, real estate, and machinery and equipment, plus the Lehigh Valley Lending Network and the Lehigh Valley Regional Loan Pool of about 9.5 million USD.</w:t>
      </w:r>
    </w:p>
    <w:p>
      <w:pPr>
        <w:spacing w:after="200" w:before="80"/>
      </w:pPr>
      <w:r>
        <w:rPr>
          <w:i/>
          <w:iCs/>
          <w:color w:val="666666"/>
          <w:sz w:val="17"/>
          <w:szCs w:val="17"/>
        </w:rPr>
        <w:t xml:space="preserve">Source: cbre.com listing US-SMPL-180304; jgpetrucci.com; lvip.org; senatorboscola.com; lvb.com; wfmz.com; lehighvalleynews.com; en.wikipedia.org Bowery Farming; Northampton County ordinance documents; bethlehem-pa.gov; bedco-pa.org; lehighvalley.org; news.lehigh.edu; thesef.org; pacpacecounties.org.</w:t>
      </w:r>
    </w:p>
    <w:p>
      <w:r>
        <w:br w:type="page"/>
      </w:r>
    </w:p>
    <w:p>
      <w:pPr>
        <w:pStyle w:val="Heading1"/>
        <w:spacing w:after="160" w:before="380"/>
      </w:pPr>
      <w:r>
        <w:rPr>
          <w:b/>
          <w:bCs/>
          <w:color w:val="222222"/>
          <w:sz w:val="30"/>
          <w:szCs w:val="30"/>
        </w:rPr>
        <w:t xml:space="preserve">14. Mapped against the MicroLink Pennsylvania pipeline</w:t>
      </w:r>
    </w:p>
    <w:p>
      <w:pPr>
        <w:pStyle w:val="Heading2"/>
        <w:spacing w:after="120" w:before="280"/>
      </w:pPr>
      <w:r>
        <w:rPr>
          <w:b/>
          <w:bCs/>
          <w:color w:val="B02020"/>
          <w:sz w:val="24"/>
          <w:szCs w:val="24"/>
        </w:rPr>
        <w:t xml:space="preserve">14.1 Bethlehem, buy the land, build the data center, restart the farm</w:t>
      </w:r>
    </w:p>
    <w:p>
      <w:pPr>
        <w:spacing w:after="80" w:before="160"/>
      </w:pPr>
      <w:r>
        <w:rPr>
          <w:b/>
          <w:bCs/>
          <w:sz w:val="21"/>
          <w:szCs w:val="21"/>
        </w:rPr>
        <w:t xml:space="preserve">Instruments that reach this structure</w:t>
      </w:r>
    </w:p>
    <w:p>
      <w:pPr>
        <w:pStyle w:val="ListParagraph"/>
        <w:numPr>
          <w:ilvl w:val="0"/>
          <w:numId w:val="2"/>
        </w:numPr>
        <w:spacing w:after="90"/>
      </w:pPr>
      <w:r>
        <w:rPr>
          <w:sz w:val="21"/>
          <w:szCs w:val="21"/>
        </w:rPr>
        <w:t xml:space="preserve">C-PACE. Northampton County has been live since May 2019 with Sustainable Energy Fund as administrator. Property zoned industrial or agricultural qualifies. Heat recovery and high efficiency chillers and heat pumps are named measures. Covers new construction and retrofit, up to 100 per cent of costs, 20 to 30 year terms, assessment transfers on sale.</w:t>
      </w:r>
    </w:p>
    <w:p>
      <w:pPr>
        <w:pStyle w:val="ListParagraph"/>
        <w:numPr>
          <w:ilvl w:val="0"/>
          <w:numId w:val="2"/>
        </w:numPr>
        <w:spacing w:after="90"/>
      </w:pPr>
      <w:r>
        <w:rPr>
          <w:sz w:val="21"/>
          <w:szCs w:val="21"/>
        </w:rPr>
        <w:t xml:space="preserve">South Side LERTA District II applies to former Bethlehem Steel property, abating the improvement value on a graduated basis with land tax still paid.</w:t>
      </w:r>
    </w:p>
    <w:p>
      <w:pPr>
        <w:pStyle w:val="ListParagraph"/>
        <w:numPr>
          <w:ilvl w:val="0"/>
          <w:numId w:val="2"/>
        </w:numPr>
        <w:spacing w:after="90"/>
      </w:pPr>
      <w:r>
        <w:rPr>
          <w:sz w:val="21"/>
          <w:szCs w:val="21"/>
        </w:rPr>
        <w:t xml:space="preserve">Data center sales and use tax exemption. Northampton County population is above 250,000, placing the thresholds at 100 million USD new investment and 45 new full time jobs within four years, then at least 1 million USD in annual employee compensation at the site. HB 2198 would repeal the programme.</w:t>
      </w:r>
    </w:p>
    <w:p>
      <w:pPr>
        <w:pStyle w:val="ListParagraph"/>
        <w:numPr>
          <w:ilvl w:val="0"/>
          <w:numId w:val="2"/>
        </w:numPr>
        <w:spacing w:after="90"/>
      </w:pPr>
      <w:r>
        <w:rPr>
          <w:sz w:val="21"/>
          <w:szCs w:val="21"/>
        </w:rPr>
        <w:t xml:space="preserve">RISE PA. Eligibility runs to industrial facilities including manufacturers. Restarting the growing operation would make MicroLink the owner and operator of the facility.</w:t>
      </w:r>
    </w:p>
    <w:p>
      <w:pPr>
        <w:pStyle w:val="ListParagraph"/>
        <w:numPr>
          <w:ilvl w:val="0"/>
          <w:numId w:val="2"/>
        </w:numPr>
        <w:spacing w:after="90"/>
      </w:pPr>
      <w:r>
        <w:rPr>
          <w:sz w:val="21"/>
          <w:szCs w:val="21"/>
        </w:rPr>
        <w:t xml:space="preserve">Agricultural Innovation Grant. Eligibility is defined by activity and Pennsylvania operation, and the clean energy and renewable energy track sits inside it. On site project grants run 5,000 to 200,000 USD.</w:t>
      </w:r>
    </w:p>
    <w:p>
      <w:pPr>
        <w:pStyle w:val="ListParagraph"/>
        <w:numPr>
          <w:ilvl w:val="0"/>
          <w:numId w:val="2"/>
        </w:numPr>
        <w:spacing w:after="90"/>
      </w:pPr>
      <w:r>
        <w:rPr>
          <w:sz w:val="21"/>
          <w:szCs w:val="21"/>
        </w:rPr>
        <w:t xml:space="preserve">Fresh Food Financing Initiative for the food output, at 5,000 to 200,000 USD, 85 per cent maximum with a 15 per cent match, for entities with 70 per cent or more of revenue from fresh, staple and perishable food sales.</w:t>
      </w:r>
    </w:p>
    <w:p>
      <w:pPr>
        <w:pStyle w:val="ListParagraph"/>
        <w:numPr>
          <w:ilvl w:val="0"/>
          <w:numId w:val="2"/>
        </w:numPr>
        <w:spacing w:after="90"/>
      </w:pPr>
      <w:r>
        <w:rPr>
          <w:sz w:val="21"/>
          <w:szCs w:val="21"/>
        </w:rPr>
        <w:t xml:space="preserve">PIDA for land and building acquisition, construction and renovation, and machinery and equipment, packaged through a certified economic development organisation.</w:t>
      </w:r>
    </w:p>
    <w:p>
      <w:pPr>
        <w:pStyle w:val="ListParagraph"/>
        <w:numPr>
          <w:ilvl w:val="0"/>
          <w:numId w:val="2"/>
        </w:numPr>
        <w:spacing w:after="90"/>
      </w:pPr>
      <w:r>
        <w:rPr>
          <w:sz w:val="21"/>
          <w:szCs w:val="21"/>
        </w:rPr>
        <w:t xml:space="preserve">Lehigh Valley Economic Development Corporation fixed rate loans up to 20 years for construction, real estate and equipment, plus the regional loan pool.</w:t>
      </w:r>
    </w:p>
    <w:p>
      <w:pPr>
        <w:pStyle w:val="ListParagraph"/>
        <w:numPr>
          <w:ilvl w:val="0"/>
          <w:numId w:val="2"/>
        </w:numPr>
        <w:spacing w:after="90"/>
      </w:pPr>
      <w:r>
        <w:rPr>
          <w:sz w:val="21"/>
          <w:szCs w:val="21"/>
        </w:rPr>
        <w:t xml:space="preserve">Act 129 through Met-Ed as the incumbent electric distribution utility. Phase V opened 1 June 2026.</w:t>
      </w:r>
    </w:p>
    <w:p>
      <w:pPr>
        <w:spacing w:after="80" w:before="160"/>
      </w:pPr>
      <w:r>
        <w:rPr>
          <w:b/>
          <w:bCs/>
          <w:sz w:val="21"/>
          <w:szCs w:val="21"/>
        </w:rPr>
        <w:t xml:space="preserve">Conditions on record</w:t>
      </w:r>
    </w:p>
    <w:p>
      <w:pPr>
        <w:pStyle w:val="ListParagraph"/>
        <w:numPr>
          <w:ilvl w:val="0"/>
          <w:numId w:val="2"/>
        </w:numPr>
        <w:spacing w:after="90"/>
      </w:pPr>
      <w:r>
        <w:rPr>
          <w:sz w:val="21"/>
          <w:szCs w:val="21"/>
        </w:rPr>
        <w:t xml:space="preserve">The 12,000 amp existing service, the temperature controlled coolers and the processing rooms are the published service position. The heating plant is not published.</w:t>
      </w:r>
    </w:p>
    <w:p>
      <w:pPr>
        <w:pStyle w:val="ListParagraph"/>
        <w:numPr>
          <w:ilvl w:val="0"/>
          <w:numId w:val="2"/>
        </w:numPr>
        <w:spacing w:after="90"/>
      </w:pPr>
      <w:r>
        <w:rPr>
          <w:sz w:val="21"/>
          <w:szCs w:val="21"/>
        </w:rPr>
        <w:t xml:space="preserve">The address and floor area conflicts in section 13.2 remain open, and the parcel identifier and current deeded owner are not in public sources.</w:t>
      </w:r>
    </w:p>
    <w:p>
      <w:pPr>
        <w:pStyle w:val="ListParagraph"/>
        <w:numPr>
          <w:ilvl w:val="0"/>
          <w:numId w:val="2"/>
        </w:numPr>
        <w:spacing w:after="90"/>
      </w:pPr>
      <w:r>
        <w:rPr>
          <w:sz w:val="21"/>
          <w:szCs w:val="21"/>
        </w:rPr>
        <w:t xml:space="preserve">RISE PA Round 2 for medium and large closed 31 July 2026. Small scale Round 4 closes mid August 2026.</w:t>
      </w:r>
    </w:p>
    <w:p>
      <w:pPr>
        <w:pStyle w:val="Heading2"/>
        <w:spacing w:after="120" w:before="280"/>
      </w:pPr>
      <w:r>
        <w:rPr>
          <w:b/>
          <w:bCs/>
          <w:color w:val="B02020"/>
          <w:sz w:val="24"/>
          <w:szCs w:val="24"/>
        </w:rPr>
        <w:t xml:space="preserve">14.2 Water Neutral 750 MW campus</w:t>
      </w:r>
    </w:p>
    <w:p>
      <w:pPr>
        <w:spacing w:after="80" w:before="160"/>
      </w:pPr>
      <w:r>
        <w:rPr>
          <w:b/>
          <w:bCs/>
          <w:sz w:val="21"/>
          <w:szCs w:val="21"/>
        </w:rPr>
        <w:t xml:space="preserve">Instruments that reach this structure</w:t>
      </w:r>
    </w:p>
    <w:p>
      <w:pPr>
        <w:pStyle w:val="ListParagraph"/>
        <w:numPr>
          <w:ilvl w:val="0"/>
          <w:numId w:val="2"/>
        </w:numPr>
        <w:spacing w:after="90"/>
      </w:pPr>
      <w:r>
        <w:rPr>
          <w:sz w:val="21"/>
          <w:szCs w:val="21"/>
        </w:rPr>
        <w:t xml:space="preserve">C-PACE water measures. Any process or equipment demonstrating water savings of 25 per cent or more is a named eligible measure, alongside heat recovery. The county or municipality must have adopted a programme, and 25 counties currently run expansion programmes.</w:t>
      </w:r>
    </w:p>
    <w:p>
      <w:pPr>
        <w:pStyle w:val="ListParagraph"/>
        <w:numPr>
          <w:ilvl w:val="0"/>
          <w:numId w:val="2"/>
        </w:numPr>
        <w:spacing w:after="90"/>
      </w:pPr>
      <w:r>
        <w:rPr>
          <w:sz w:val="21"/>
          <w:szCs w:val="21"/>
        </w:rPr>
        <w:t xml:space="preserve">PENNVEST. Stormwater control including transport, storage and infiltration is an eligible project type, green infrastructure is named, and private owners and operators are eligible applicants. Traditional terms are interest only through construction to three years then 20 years principal and interest at county cap rates.</w:t>
      </w:r>
    </w:p>
    <w:p>
      <w:pPr>
        <w:pStyle w:val="ListParagraph"/>
        <w:numPr>
          <w:ilvl w:val="0"/>
          <w:numId w:val="2"/>
        </w:numPr>
        <w:spacing w:after="90"/>
      </w:pPr>
      <w:r>
        <w:rPr>
          <w:sz w:val="21"/>
          <w:szCs w:val="21"/>
        </w:rPr>
        <w:t xml:space="preserve">PA SITES for utility extensions and pad ready grading, applied for by a municipality, authority or economic development organisation, on a rolling quarterly cycle.</w:t>
      </w:r>
    </w:p>
    <w:p>
      <w:pPr>
        <w:pStyle w:val="ListParagraph"/>
        <w:numPr>
          <w:ilvl w:val="0"/>
          <w:numId w:val="2"/>
        </w:numPr>
        <w:spacing w:after="90"/>
      </w:pPr>
      <w:r>
        <w:rPr>
          <w:sz w:val="21"/>
          <w:szCs w:val="21"/>
        </w:rPr>
        <w:t xml:space="preserve">Data center sales and use tax exemption on the compute equipment, subject to HB 2198.</w:t>
      </w:r>
    </w:p>
    <w:p>
      <w:pPr>
        <w:spacing w:after="80" w:before="160"/>
      </w:pPr>
      <w:r>
        <w:rPr>
          <w:b/>
          <w:bCs/>
          <w:sz w:val="21"/>
          <w:szCs w:val="21"/>
        </w:rPr>
        <w:t xml:space="preserve">Conditions on record</w:t>
      </w:r>
    </w:p>
    <w:p>
      <w:pPr>
        <w:pStyle w:val="ListParagraph"/>
        <w:numPr>
          <w:ilvl w:val="0"/>
          <w:numId w:val="2"/>
        </w:numPr>
        <w:spacing w:after="90"/>
      </w:pPr>
      <w:r>
        <w:rPr>
          <w:sz w:val="21"/>
          <w:szCs w:val="21"/>
        </w:rPr>
        <w:t xml:space="preserve">Harvested rainwater serves fertigation, toilet flushing and fire reserve under the canon decision already held. Rainwater is excluded from the potable water definition under the Safe Drinking Water Act, and Section 1303 of the 2009 Plumbing Code governs non potable systems. Separation, identification and decommissioning requirements follow IRC 2015 Chapter 29.</w:t>
      </w:r>
    </w:p>
    <w:p>
      <w:pPr>
        <w:pStyle w:val="ListParagraph"/>
        <w:numPr>
          <w:ilvl w:val="0"/>
          <w:numId w:val="2"/>
        </w:numPr>
        <w:spacing w:after="90"/>
      </w:pPr>
      <w:r>
        <w:rPr>
          <w:sz w:val="21"/>
          <w:szCs w:val="21"/>
        </w:rPr>
        <w:t xml:space="preserve">Earth disturbance at 0.4 ha (1 acre) or more triggers NPDES construction stormwater coverage under PAG-01 or PAG-02.</w:t>
      </w:r>
    </w:p>
    <w:p>
      <w:pPr>
        <w:pStyle w:val="ListParagraph"/>
        <w:numPr>
          <w:ilvl w:val="0"/>
          <w:numId w:val="2"/>
        </w:numPr>
        <w:spacing w:after="90"/>
      </w:pPr>
      <w:r>
        <w:rPr>
          <w:sz w:val="21"/>
          <w:szCs w:val="21"/>
        </w:rPr>
        <w:t xml:space="preserve">At 750 MW the campus sits above the 50 MW individual threshold in the Public Utility Commission model tariff, which brings credit and collateral requirements, contributions in aid of construction, load ramp schedules, minimum contract terms, early termination fees and universal service contributions. Third party build out of interconnection infrastructure and customer self construction are authorised.</w:t>
      </w:r>
    </w:p>
    <w:p>
      <w:pPr>
        <w:pStyle w:val="ListParagraph"/>
        <w:numPr>
          <w:ilvl w:val="0"/>
          <w:numId w:val="2"/>
        </w:numPr>
        <w:spacing w:after="90"/>
      </w:pPr>
      <w:r>
        <w:rPr>
          <w:sz w:val="21"/>
          <w:szCs w:val="21"/>
        </w:rPr>
        <w:t xml:space="preserve">The architecture keeps the dry cooler path visible. Where efficiency is stated, PUE is reported with ERE alongside it.</w:t>
      </w:r>
    </w:p>
    <w:p>
      <w:pPr>
        <w:pStyle w:val="Heading2"/>
        <w:spacing w:after="120" w:before="280"/>
      </w:pPr>
      <w:r>
        <w:rPr>
          <w:b/>
          <w:bCs/>
          <w:color w:val="B02020"/>
          <w:sz w:val="24"/>
          <w:szCs w:val="24"/>
        </w:rPr>
        <w:t xml:space="preserve">14.3 Vicinity Energy Grays Ferry and Schuylkill Station</w:t>
      </w:r>
    </w:p>
    <w:p>
      <w:pPr>
        <w:spacing w:after="80" w:before="160"/>
      </w:pPr>
      <w:r>
        <w:rPr>
          <w:b/>
          <w:bCs/>
          <w:sz w:val="21"/>
          <w:szCs w:val="21"/>
        </w:rPr>
        <w:t xml:space="preserve">Instruments that reach this structure</w:t>
      </w:r>
    </w:p>
    <w:p>
      <w:pPr>
        <w:pStyle w:val="ListParagraph"/>
        <w:numPr>
          <w:ilvl w:val="0"/>
          <w:numId w:val="2"/>
        </w:numPr>
        <w:spacing w:after="90"/>
      </w:pPr>
      <w:r>
        <w:rPr>
          <w:sz w:val="21"/>
          <w:szCs w:val="21"/>
        </w:rPr>
        <w:t xml:space="preserve">C-PACE in Philadelphia through the Philadelphia Energy Authority, including the retroactive rule now extended to three years after project completion. The programme has provided 312 million USD of capital since launch.</w:t>
      </w:r>
    </w:p>
    <w:p>
      <w:pPr>
        <w:pStyle w:val="ListParagraph"/>
        <w:numPr>
          <w:ilvl w:val="0"/>
          <w:numId w:val="2"/>
        </w:numPr>
        <w:spacing w:after="90"/>
      </w:pPr>
      <w:r>
        <w:rPr>
          <w:sz w:val="21"/>
          <w:szCs w:val="21"/>
        </w:rPr>
        <w:t xml:space="preserve">Act 129 through PECO, whose custom track pays 0.06 to 0.12 USD per kWh of verified first year savings, and which states some combined heat and power equipment is eligible.</w:t>
      </w:r>
    </w:p>
    <w:p>
      <w:pPr>
        <w:pStyle w:val="ListParagraph"/>
        <w:numPr>
          <w:ilvl w:val="0"/>
          <w:numId w:val="2"/>
        </w:numPr>
        <w:spacing w:after="90"/>
      </w:pPr>
      <w:r>
        <w:rPr>
          <w:sz w:val="21"/>
          <w:szCs w:val="21"/>
        </w:rPr>
        <w:t xml:space="preserve">RACP for regional projects, minimum total project cost 1 million USD with at least 50 per cent non state match, applied for by a redevelopment authority, county industrial development authority, local government or public authority, often partnering with a private business. The window is currently closed.</w:t>
      </w:r>
    </w:p>
    <w:p>
      <w:pPr>
        <w:spacing w:after="80" w:before="160"/>
      </w:pPr>
      <w:r>
        <w:rPr>
          <w:b/>
          <w:bCs/>
          <w:sz w:val="21"/>
          <w:szCs w:val="21"/>
        </w:rPr>
        <w:t xml:space="preserve">Conditions on record</w:t>
      </w:r>
    </w:p>
    <w:p>
      <w:pPr>
        <w:pStyle w:val="ListParagraph"/>
        <w:numPr>
          <w:ilvl w:val="0"/>
          <w:numId w:val="2"/>
        </w:numPr>
        <w:spacing w:after="90"/>
      </w:pPr>
      <w:r>
        <w:rPr>
          <w:sz w:val="21"/>
          <w:szCs w:val="21"/>
        </w:rPr>
        <w:t xml:space="preserve">Philadelphia levies 2 per cent local sales tax above the state 6 per cent, and whether the data center exemption reaches the local portion is not clearly addressed in the sources.</w:t>
      </w:r>
    </w:p>
    <w:p>
      <w:pPr>
        <w:pStyle w:val="ListParagraph"/>
        <w:numPr>
          <w:ilvl w:val="0"/>
          <w:numId w:val="2"/>
        </w:numPr>
        <w:spacing w:after="90"/>
      </w:pPr>
      <w:r>
        <w:rPr>
          <w:sz w:val="21"/>
          <w:szCs w:val="21"/>
        </w:rPr>
        <w:t xml:space="preserve">Vicinity is electrifying Grays Ferry with electric boilers, molten salt thermal storage and industrial scale heat pumps, and markets eSteam as a renewable thermal product.</w:t>
      </w:r>
    </w:p>
    <w:p>
      <w:pPr>
        <w:pStyle w:val="ListParagraph"/>
        <w:numPr>
          <w:ilvl w:val="0"/>
          <w:numId w:val="2"/>
        </w:numPr>
        <w:spacing w:after="90"/>
      </w:pPr>
      <w:r>
        <w:rPr>
          <w:sz w:val="21"/>
          <w:szCs w:val="21"/>
        </w:rPr>
        <w:t xml:space="preserve">The Philadelphia Gas Works rate position was reset by the April 2023 Public Utility Commission ruling requiring a full rate case.</w:t>
      </w:r>
    </w:p>
    <w:p>
      <w:pPr>
        <w:pStyle w:val="Heading2"/>
        <w:spacing w:after="120" w:before="280"/>
      </w:pPr>
      <w:r>
        <w:rPr>
          <w:b/>
          <w:bCs/>
          <w:color w:val="B02020"/>
          <w:sz w:val="24"/>
          <w:szCs w:val="24"/>
        </w:rPr>
        <w:t xml:space="preserve">14.4 River site, Philadelphia</w:t>
      </w:r>
    </w:p>
    <w:p>
      <w:pPr>
        <w:spacing w:after="140"/>
      </w:pPr>
      <w:r>
        <w:rPr>
          <w:sz w:val="21"/>
          <w:szCs w:val="21"/>
        </w:rPr>
        <w:t xml:space="preserve">The Philadelphia instruments in 14.3 apply: Philadelphia C-PACE through the Philadelphia Energy Authority, Act 129 through PECO, the Philadelphia stormwater grant route for rainwater collection, and PENNVEST for water, wastewater and stormwater scope. The data center sales and use tax exemption thresholds for Philadelphia County are 100 million USD and 45 jobs, the county being above 250,000 population.</w:t>
      </w:r>
    </w:p>
    <w:p>
      <w:pPr>
        <w:pStyle w:val="Heading2"/>
        <w:spacing w:after="120" w:before="280"/>
      </w:pPr>
      <w:r>
        <w:rPr>
          <w:b/>
          <w:bCs/>
          <w:color w:val="B02020"/>
          <w:sz w:val="24"/>
          <w:szCs w:val="24"/>
        </w:rPr>
        <w:t xml:space="preserve">14.5 Pittsburgh as integration workshop location</w:t>
      </w:r>
    </w:p>
    <w:p>
      <w:pPr>
        <w:spacing w:after="140"/>
      </w:pPr>
      <w:r>
        <w:rPr>
          <w:sz w:val="21"/>
          <w:szCs w:val="21"/>
        </w:rPr>
        <w:t xml:space="preserve">Allegheny County runs a C-PACE expansion programme. The City of Pittsburgh co-developed the C-PACE in a Box model guidelines. Allegheny County levies 1 per cent local sales tax above the state rate. PIDA covers research and development and computer related service enterprises among eligible sectors. PA SITES applies through a municipality, authority or economic development organisation. The Pennsylvania Industrial Development Authority route and Act 129 through Duquesne Light, docket M-2025-3057325, are the local utility and finance positions.</w:t>
      </w:r>
    </w:p>
    <w:p>
      <w:pPr>
        <w:pStyle w:val="Heading2"/>
        <w:spacing w:after="120" w:before="280"/>
      </w:pPr>
      <w:r>
        <w:rPr>
          <w:b/>
          <w:bCs/>
          <w:color w:val="B02020"/>
          <w:sz w:val="24"/>
          <w:szCs w:val="24"/>
        </w:rPr>
        <w:t xml:space="preserve">14.6 Public sector counterparties</w:t>
      </w:r>
    </w:p>
    <w:p>
      <w:pPr>
        <w:spacing w:after="140"/>
      </w:pPr>
      <w:r>
        <w:rPr>
          <w:sz w:val="21"/>
          <w:szCs w:val="21"/>
        </w:rPr>
        <w:t xml:space="preserve">Where a counterparty is a school district, county, municipality, borough, township or authority, the Guaranteed Energy Savings Act route becomes available to that counterparty, with MicroLink or a partner in the energy services company position under a guaranteed energy savings contract awarded by request for proposal. The contract must show that expenditure on measures does not exceed energy, water and wastewater and operational cost savings, and award notice must be published in the Pennsylvania Bulletin.</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15. Access points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120"/>
        <w:gridCol w:w="6240"/>
      </w:tblGrid>
      <w:tr>
        <w:trPr>
          <w:tblHeader/>
        </w:trPr>
        <w:tc>
          <w:tcPr>
            <w:tcW w:type="dxa" w:w="3120"/>
            <w:shd w:fill="F2F2F2" w:color="auto" w:val="clear"/>
            <w:tcMar>
              <w:top w:type="dxa" w:w="80"/>
              <w:left w:type="dxa" w:w="110"/>
              <w:bottom w:type="dxa" w:w="80"/>
              <w:right w:type="dxa" w:w="110"/>
            </w:tcMar>
          </w:tcPr>
          <w:p>
            <w:r>
              <w:rPr>
                <w:b/>
                <w:bCs/>
                <w:sz w:val="18"/>
                <w:szCs w:val="18"/>
              </w:rPr>
              <w:t xml:space="preserve">Route</w:t>
            </w:r>
          </w:p>
        </w:tc>
        <w:tc>
          <w:tcPr>
            <w:tcW w:type="dxa" w:w="6240"/>
            <w:shd w:fill="F2F2F2" w:color="auto" w:val="clear"/>
            <w:tcMar>
              <w:top w:type="dxa" w:w="80"/>
              <w:left w:type="dxa" w:w="110"/>
              <w:bottom w:type="dxa" w:w="80"/>
              <w:right w:type="dxa" w:w="110"/>
            </w:tcMar>
          </w:tcPr>
          <w:p>
            <w:r>
              <w:rPr>
                <w:b/>
                <w:bCs/>
                <w:sz w:val="18"/>
                <w:szCs w:val="18"/>
              </w:rPr>
              <w:t xml:space="preserve">Detail</w:t>
            </w:r>
          </w:p>
        </w:tc>
      </w:tr>
      <w:tr>
        <w:trPr>
          <w:tblHeader w:val="false"/>
        </w:trPr>
        <w:tc>
          <w:tcPr>
            <w:tcW w:type="dxa" w:w="3120"/>
            <w:tcMar>
              <w:top w:type="dxa" w:w="80"/>
              <w:left w:type="dxa" w:w="110"/>
              <w:bottom w:type="dxa" w:w="80"/>
              <w:right w:type="dxa" w:w="110"/>
            </w:tcMar>
          </w:tcPr>
          <w:p>
            <w:r>
              <w:rPr>
                <w:sz w:val="18"/>
                <w:szCs w:val="18"/>
              </w:rPr>
              <w:t xml:space="preserve">RISE PA</w:t>
            </w:r>
          </w:p>
        </w:tc>
        <w:tc>
          <w:tcPr>
            <w:tcW w:type="dxa" w:w="6240"/>
            <w:tcMar>
              <w:top w:type="dxa" w:w="80"/>
              <w:left w:type="dxa" w:w="110"/>
              <w:bottom w:type="dxa" w:w="80"/>
              <w:right w:type="dxa" w:w="110"/>
            </w:tcMar>
          </w:tcPr>
          <w:p>
            <w:r>
              <w:rPr>
                <w:sz w:val="18"/>
                <w:szCs w:val="18"/>
              </w:rPr>
              <w:t xml:space="preserve">pa.gov DEP Energy Programs Office RISE PA. Small scale track through PennTAP at penntap.psu.edu</w:t>
            </w:r>
          </w:p>
        </w:tc>
      </w:tr>
      <w:tr>
        <w:trPr>
          <w:tblHeader w:val="false"/>
        </w:trPr>
        <w:tc>
          <w:tcPr>
            <w:tcW w:type="dxa" w:w="3120"/>
            <w:tcMar>
              <w:top w:type="dxa" w:w="80"/>
              <w:left w:type="dxa" w:w="110"/>
              <w:bottom w:type="dxa" w:w="80"/>
              <w:right w:type="dxa" w:w="110"/>
            </w:tcMar>
          </w:tcPr>
          <w:p>
            <w:r>
              <w:rPr>
                <w:sz w:val="18"/>
                <w:szCs w:val="18"/>
              </w:rPr>
              <w:t xml:space="preserve">C-PACE statewide</w:t>
            </w:r>
          </w:p>
        </w:tc>
        <w:tc>
          <w:tcPr>
            <w:tcW w:type="dxa" w:w="6240"/>
            <w:tcMar>
              <w:top w:type="dxa" w:w="80"/>
              <w:left w:type="dxa" w:w="110"/>
              <w:bottom w:type="dxa" w:w="80"/>
              <w:right w:type="dxa" w:w="110"/>
            </w:tcMar>
          </w:tcPr>
          <w:p>
            <w:r>
              <w:rPr>
                <w:sz w:val="18"/>
                <w:szCs w:val="18"/>
              </w:rPr>
              <w:t xml:space="preserve">pacpacecounties.org and pennsylvaniacpace.org. Administrator Sustainable Energy Fund, thesef.org</w:t>
            </w:r>
          </w:p>
        </w:tc>
      </w:tr>
      <w:tr>
        <w:trPr>
          <w:tblHeader w:val="false"/>
        </w:trPr>
        <w:tc>
          <w:tcPr>
            <w:tcW w:type="dxa" w:w="3120"/>
            <w:tcMar>
              <w:top w:type="dxa" w:w="80"/>
              <w:left w:type="dxa" w:w="110"/>
              <w:bottom w:type="dxa" w:w="80"/>
              <w:right w:type="dxa" w:w="110"/>
            </w:tcMar>
          </w:tcPr>
          <w:p>
            <w:r>
              <w:rPr>
                <w:sz w:val="18"/>
                <w:szCs w:val="18"/>
              </w:rPr>
              <w:t xml:space="preserve">C-PACE Philadelphia</w:t>
            </w:r>
          </w:p>
        </w:tc>
        <w:tc>
          <w:tcPr>
            <w:tcW w:type="dxa" w:w="6240"/>
            <w:tcMar>
              <w:top w:type="dxa" w:w="80"/>
              <w:left w:type="dxa" w:w="110"/>
              <w:bottom w:type="dxa" w:w="80"/>
              <w:right w:type="dxa" w:w="110"/>
            </w:tcMar>
          </w:tcPr>
          <w:p>
            <w:r>
              <w:rPr>
                <w:sz w:val="18"/>
                <w:szCs w:val="18"/>
              </w:rPr>
              <w:t xml:space="preserve">philadelphiacpace.org, Philadelphia Energy Authority</w:t>
            </w:r>
          </w:p>
        </w:tc>
      </w:tr>
      <w:tr>
        <w:trPr>
          <w:tblHeader w:val="false"/>
        </w:trPr>
        <w:tc>
          <w:tcPr>
            <w:tcW w:type="dxa" w:w="3120"/>
            <w:tcMar>
              <w:top w:type="dxa" w:w="80"/>
              <w:left w:type="dxa" w:w="110"/>
              <w:bottom w:type="dxa" w:w="80"/>
              <w:right w:type="dxa" w:w="110"/>
            </w:tcMar>
          </w:tcPr>
          <w:p>
            <w:r>
              <w:rPr>
                <w:sz w:val="18"/>
                <w:szCs w:val="18"/>
              </w:rPr>
              <w:t xml:space="preserve">PENNVEST</w:t>
            </w:r>
          </w:p>
        </w:tc>
        <w:tc>
          <w:tcPr>
            <w:tcW w:type="dxa" w:w="6240"/>
            <w:tcMar>
              <w:top w:type="dxa" w:w="80"/>
              <w:left w:type="dxa" w:w="110"/>
              <w:bottom w:type="dxa" w:w="80"/>
              <w:right w:type="dxa" w:w="110"/>
            </w:tcMar>
          </w:tcPr>
          <w:p>
            <w:r>
              <w:rPr>
                <w:sz w:val="18"/>
                <w:szCs w:val="18"/>
              </w:rPr>
              <w:t xml:space="preserve">pa.gov agencies pennvest, Apply for PENNVEST Funding</w:t>
            </w:r>
          </w:p>
        </w:tc>
      </w:tr>
      <w:tr>
        <w:trPr>
          <w:tblHeader w:val="false"/>
        </w:trPr>
        <w:tc>
          <w:tcPr>
            <w:tcW w:type="dxa" w:w="3120"/>
            <w:tcMar>
              <w:top w:type="dxa" w:w="80"/>
              <w:left w:type="dxa" w:w="110"/>
              <w:bottom w:type="dxa" w:w="80"/>
              <w:right w:type="dxa" w:w="110"/>
            </w:tcMar>
          </w:tcPr>
          <w:p>
            <w:r>
              <w:rPr>
                <w:sz w:val="18"/>
                <w:szCs w:val="18"/>
              </w:rPr>
              <w:t xml:space="preserve">PEDA and Energy Accelerator Program</w:t>
            </w:r>
          </w:p>
        </w:tc>
        <w:tc>
          <w:tcPr>
            <w:tcW w:type="dxa" w:w="6240"/>
            <w:tcMar>
              <w:top w:type="dxa" w:w="80"/>
              <w:left w:type="dxa" w:w="110"/>
              <w:bottom w:type="dxa" w:w="80"/>
              <w:right w:type="dxa" w:w="110"/>
            </w:tcMar>
          </w:tcPr>
          <w:p>
            <w:r>
              <w:rPr>
                <w:sz w:val="18"/>
                <w:szCs w:val="18"/>
              </w:rPr>
              <w:t xml:space="preserve">pa.gov DEP Energy Programs Office financial options. ra-peda@pa.gov</w:t>
            </w:r>
          </w:p>
        </w:tc>
      </w:tr>
      <w:tr>
        <w:trPr>
          <w:tblHeader w:val="false"/>
        </w:trPr>
        <w:tc>
          <w:tcPr>
            <w:tcW w:type="dxa" w:w="3120"/>
            <w:tcMar>
              <w:top w:type="dxa" w:w="80"/>
              <w:left w:type="dxa" w:w="110"/>
              <w:bottom w:type="dxa" w:w="80"/>
              <w:right w:type="dxa" w:w="110"/>
            </w:tcMar>
          </w:tcPr>
          <w:p>
            <w:r>
              <w:rPr>
                <w:sz w:val="18"/>
                <w:szCs w:val="18"/>
              </w:rPr>
              <w:t xml:space="preserve">PA SITES, PIDA</w:t>
            </w:r>
          </w:p>
        </w:tc>
        <w:tc>
          <w:tcPr>
            <w:tcW w:type="dxa" w:w="6240"/>
            <w:tcMar>
              <w:top w:type="dxa" w:w="80"/>
              <w:left w:type="dxa" w:w="110"/>
              <w:bottom w:type="dxa" w:w="80"/>
              <w:right w:type="dxa" w:w="110"/>
            </w:tcMar>
          </w:tcPr>
          <w:p>
            <w:r>
              <w:rPr>
                <w:sz w:val="18"/>
                <w:szCs w:val="18"/>
              </w:rPr>
              <w:t xml:space="preserve">dced.pa.gov. Applications through the Enterprise eGrants System and the Electronic Single Application</w:t>
            </w:r>
          </w:p>
        </w:tc>
      </w:tr>
      <w:tr>
        <w:trPr>
          <w:tblHeader w:val="false"/>
        </w:trPr>
        <w:tc>
          <w:tcPr>
            <w:tcW w:type="dxa" w:w="3120"/>
            <w:tcMar>
              <w:top w:type="dxa" w:w="80"/>
              <w:left w:type="dxa" w:w="110"/>
              <w:bottom w:type="dxa" w:w="80"/>
              <w:right w:type="dxa" w:w="110"/>
            </w:tcMar>
          </w:tcPr>
          <w:p>
            <w:r>
              <w:rPr>
                <w:sz w:val="18"/>
                <w:szCs w:val="18"/>
              </w:rPr>
              <w:t xml:space="preserve">RACP</w:t>
            </w:r>
          </w:p>
        </w:tc>
        <w:tc>
          <w:tcPr>
            <w:tcW w:type="dxa" w:w="6240"/>
            <w:tcMar>
              <w:top w:type="dxa" w:w="80"/>
              <w:left w:type="dxa" w:w="110"/>
              <w:bottom w:type="dxa" w:w="80"/>
              <w:right w:type="dxa" w:w="110"/>
            </w:tcMar>
          </w:tcPr>
          <w:p>
            <w:r>
              <w:rPr>
                <w:sz w:val="18"/>
                <w:szCs w:val="18"/>
              </w:rPr>
              <w:t xml:space="preserve">budget.pa.gov, e-RACP system</w:t>
            </w:r>
          </w:p>
        </w:tc>
      </w:tr>
      <w:tr>
        <w:trPr>
          <w:tblHeader w:val="false"/>
        </w:trPr>
        <w:tc>
          <w:tcPr>
            <w:tcW w:type="dxa" w:w="3120"/>
            <w:tcMar>
              <w:top w:type="dxa" w:w="80"/>
              <w:left w:type="dxa" w:w="110"/>
              <w:bottom w:type="dxa" w:w="80"/>
              <w:right w:type="dxa" w:w="110"/>
            </w:tcMar>
          </w:tcPr>
          <w:p>
            <w:r>
              <w:rPr>
                <w:sz w:val="18"/>
                <w:szCs w:val="18"/>
              </w:rPr>
              <w:t xml:space="preserve">Act 129</w:t>
            </w:r>
          </w:p>
        </w:tc>
        <w:tc>
          <w:tcPr>
            <w:tcW w:type="dxa" w:w="6240"/>
            <w:tcMar>
              <w:top w:type="dxa" w:w="80"/>
              <w:left w:type="dxa" w:w="110"/>
              <w:bottom w:type="dxa" w:w="80"/>
              <w:right w:type="dxa" w:w="110"/>
            </w:tcMar>
          </w:tcPr>
          <w:p>
            <w:r>
              <w:rPr>
                <w:sz w:val="18"/>
                <w:szCs w:val="18"/>
              </w:rPr>
              <w:t xml:space="preserve">puc.pa.gov energy efficiency and conservation. Phase V dockets by company</w:t>
            </w:r>
          </w:p>
        </w:tc>
      </w:tr>
      <w:tr>
        <w:trPr>
          <w:tblHeader w:val="false"/>
        </w:trPr>
        <w:tc>
          <w:tcPr>
            <w:tcW w:type="dxa" w:w="3120"/>
            <w:tcMar>
              <w:top w:type="dxa" w:w="80"/>
              <w:left w:type="dxa" w:w="110"/>
              <w:bottom w:type="dxa" w:w="80"/>
              <w:right w:type="dxa" w:w="110"/>
            </w:tcMar>
          </w:tcPr>
          <w:p>
            <w:r>
              <w:rPr>
                <w:sz w:val="18"/>
                <w:szCs w:val="18"/>
              </w:rPr>
              <w:t xml:space="preserve">Large load tariff</w:t>
            </w:r>
          </w:p>
        </w:tc>
        <w:tc>
          <w:tcPr>
            <w:tcW w:type="dxa" w:w="6240"/>
            <w:tcMar>
              <w:top w:type="dxa" w:w="80"/>
              <w:left w:type="dxa" w:w="110"/>
              <w:bottom w:type="dxa" w:w="80"/>
              <w:right w:type="dxa" w:w="110"/>
            </w:tcMar>
          </w:tcPr>
          <w:p>
            <w:r>
              <w:rPr>
                <w:sz w:val="18"/>
                <w:szCs w:val="18"/>
              </w:rPr>
              <w:t xml:space="preserve">Docket M-2025-3054271, puc.pa.gov</w:t>
            </w:r>
          </w:p>
        </w:tc>
      </w:tr>
      <w:tr>
        <w:trPr>
          <w:tblHeader w:val="false"/>
        </w:trPr>
        <w:tc>
          <w:tcPr>
            <w:tcW w:type="dxa" w:w="3120"/>
            <w:tcMar>
              <w:top w:type="dxa" w:w="80"/>
              <w:left w:type="dxa" w:w="110"/>
              <w:bottom w:type="dxa" w:w="80"/>
              <w:right w:type="dxa" w:w="110"/>
            </w:tcMar>
          </w:tcPr>
          <w:p>
            <w:r>
              <w:rPr>
                <w:sz w:val="18"/>
                <w:szCs w:val="18"/>
              </w:rPr>
              <w:t xml:space="preserve">GESA for Commonwealth agencies</w:t>
            </w:r>
          </w:p>
        </w:tc>
        <w:tc>
          <w:tcPr>
            <w:tcW w:type="dxa" w:w="6240"/>
            <w:tcMar>
              <w:top w:type="dxa" w:w="80"/>
              <w:left w:type="dxa" w:w="110"/>
              <w:bottom w:type="dxa" w:w="80"/>
              <w:right w:type="dxa" w:w="110"/>
            </w:tcMar>
          </w:tcPr>
          <w:p>
            <w:r>
              <w:rPr>
                <w:sz w:val="18"/>
                <w:szCs w:val="18"/>
              </w:rPr>
              <w:t xml:space="preserve">Department of General Services Energy and Resource Management Office, ITQ 4400016426 in JAGGAER</w:t>
            </w:r>
          </w:p>
        </w:tc>
      </w:tr>
      <w:tr>
        <w:trPr>
          <w:tblHeader w:val="false"/>
        </w:trPr>
        <w:tc>
          <w:tcPr>
            <w:tcW w:type="dxa" w:w="3120"/>
            <w:tcMar>
              <w:top w:type="dxa" w:w="80"/>
              <w:left w:type="dxa" w:w="110"/>
              <w:bottom w:type="dxa" w:w="80"/>
              <w:right w:type="dxa" w:w="110"/>
            </w:tcMar>
          </w:tcPr>
          <w:p>
            <w:r>
              <w:rPr>
                <w:sz w:val="18"/>
                <w:szCs w:val="18"/>
              </w:rPr>
              <w:t xml:space="preserve">Data center tax exemption</w:t>
            </w:r>
          </w:p>
        </w:tc>
        <w:tc>
          <w:tcPr>
            <w:tcW w:type="dxa" w:w="6240"/>
            <w:tcMar>
              <w:top w:type="dxa" w:w="80"/>
              <w:left w:type="dxa" w:w="110"/>
              <w:bottom w:type="dxa" w:w="80"/>
              <w:right w:type="dxa" w:w="110"/>
            </w:tcMar>
          </w:tcPr>
          <w:p>
            <w:r>
              <w:rPr>
                <w:sz w:val="18"/>
                <w:szCs w:val="18"/>
              </w:rPr>
              <w:t xml:space="preserve">pa.gov Department of Revenue, Application for Computer Data Center Certification</w:t>
            </w:r>
          </w:p>
        </w:tc>
      </w:tr>
      <w:tr>
        <w:trPr>
          <w:tblHeader w:val="false"/>
        </w:trPr>
        <w:tc>
          <w:tcPr>
            <w:tcW w:type="dxa" w:w="3120"/>
            <w:tcMar>
              <w:top w:type="dxa" w:w="80"/>
              <w:left w:type="dxa" w:w="110"/>
              <w:bottom w:type="dxa" w:w="80"/>
              <w:right w:type="dxa" w:w="110"/>
            </w:tcMar>
          </w:tcPr>
          <w:p>
            <w:r>
              <w:rPr>
                <w:sz w:val="18"/>
                <w:szCs w:val="18"/>
              </w:rPr>
              <w:t xml:space="preserve">Keystone Opportunity Zone</w:t>
            </w:r>
          </w:p>
        </w:tc>
        <w:tc>
          <w:tcPr>
            <w:tcW w:type="dxa" w:w="6240"/>
            <w:tcMar>
              <w:top w:type="dxa" w:w="80"/>
              <w:left w:type="dxa" w:w="110"/>
              <w:bottom w:type="dxa" w:w="80"/>
              <w:right w:type="dxa" w:w="110"/>
            </w:tcMar>
          </w:tcPr>
          <w:p>
            <w:r>
              <w:rPr>
                <w:sz w:val="18"/>
                <w:szCs w:val="18"/>
              </w:rPr>
              <w:t xml:space="preserve">dced.pa.gov, Keystone Opportunity Zone Manager</w:t>
            </w:r>
          </w:p>
        </w:tc>
      </w:tr>
      <w:tr>
        <w:trPr>
          <w:tblHeader w:val="false"/>
        </w:trPr>
        <w:tc>
          <w:tcPr>
            <w:tcW w:type="dxa" w:w="3120"/>
            <w:tcMar>
              <w:top w:type="dxa" w:w="80"/>
              <w:left w:type="dxa" w:w="110"/>
              <w:bottom w:type="dxa" w:w="80"/>
              <w:right w:type="dxa" w:w="110"/>
            </w:tcMar>
          </w:tcPr>
          <w:p>
            <w:r>
              <w:rPr>
                <w:sz w:val="18"/>
                <w:szCs w:val="18"/>
              </w:rPr>
              <w:t xml:space="preserve">Agriculture</w:t>
            </w:r>
          </w:p>
        </w:tc>
        <w:tc>
          <w:tcPr>
            <w:tcW w:type="dxa" w:w="6240"/>
            <w:tcMar>
              <w:top w:type="dxa" w:w="80"/>
              <w:left w:type="dxa" w:w="110"/>
              <w:bottom w:type="dxa" w:w="80"/>
              <w:right w:type="dxa" w:w="110"/>
            </w:tcMar>
          </w:tcPr>
          <w:p>
            <w:r>
              <w:rPr>
                <w:sz w:val="18"/>
                <w:szCs w:val="18"/>
              </w:rPr>
              <w:t xml:space="preserve">pa.gov Department of Agriculture, Agricultural Innovation and PA Farm Bill pages</w:t>
            </w:r>
          </w:p>
        </w:tc>
      </w:tr>
      <w:tr>
        <w:trPr>
          <w:tblHeader w:val="false"/>
        </w:trPr>
        <w:tc>
          <w:tcPr>
            <w:tcW w:type="dxa" w:w="3120"/>
            <w:tcMar>
              <w:top w:type="dxa" w:w="80"/>
              <w:left w:type="dxa" w:w="110"/>
              <w:bottom w:type="dxa" w:w="80"/>
              <w:right w:type="dxa" w:w="110"/>
            </w:tcMar>
          </w:tcPr>
          <w:p>
            <w:r>
              <w:rPr>
                <w:sz w:val="18"/>
                <w:szCs w:val="18"/>
              </w:rPr>
              <w:t xml:space="preserve">Bethlehem site</w:t>
            </w:r>
          </w:p>
        </w:tc>
        <w:tc>
          <w:tcPr>
            <w:tcW w:type="dxa" w:w="6240"/>
            <w:tcMar>
              <w:top w:type="dxa" w:w="80"/>
              <w:left w:type="dxa" w:w="110"/>
              <w:bottom w:type="dxa" w:w="80"/>
              <w:right w:type="dxa" w:w="110"/>
            </w:tcMar>
          </w:tcPr>
          <w:p>
            <w:r>
              <w:rPr>
                <w:sz w:val="18"/>
                <w:szCs w:val="18"/>
              </w:rPr>
              <w:t xml:space="preserve">CBRE listing US-SMPL-180304. City of Bethlehem Planning and Zoning. Northampton County. BEDCO. Lehigh Valley Economic Development Corporation at lehighvalley.org</w:t>
            </w:r>
          </w:p>
        </w:tc>
      </w:tr>
      <w:tr>
        <w:trPr>
          <w:tblHeader w:val="false"/>
        </w:trPr>
        <w:tc>
          <w:tcPr>
            <w:tcW w:type="dxa" w:w="3120"/>
            <w:tcMar>
              <w:top w:type="dxa" w:w="80"/>
              <w:left w:type="dxa" w:w="110"/>
              <w:bottom w:type="dxa" w:w="80"/>
              <w:right w:type="dxa" w:w="110"/>
            </w:tcMar>
          </w:tcPr>
          <w:p>
            <w:r>
              <w:rPr>
                <w:sz w:val="18"/>
                <w:szCs w:val="18"/>
              </w:rPr>
              <w:t xml:space="preserve">Legislation</w:t>
            </w:r>
          </w:p>
        </w:tc>
        <w:tc>
          <w:tcPr>
            <w:tcW w:type="dxa" w:w="6240"/>
            <w:tcMar>
              <w:top w:type="dxa" w:w="80"/>
              <w:left w:type="dxa" w:w="110"/>
              <w:bottom w:type="dxa" w:w="80"/>
              <w:right w:type="dxa" w:w="110"/>
            </w:tcMar>
          </w:tcPr>
          <w:p>
            <w:r>
              <w:rPr>
                <w:sz w:val="18"/>
                <w:szCs w:val="18"/>
              </w:rPr>
              <w:t xml:space="preserve">palegis.us and legiscan.com. PennFuture data center legislation tracker</w:t>
            </w:r>
          </w:p>
        </w:tc>
      </w:tr>
    </w:tbl>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16. Verification list</w:t>
      </w:r>
    </w:p>
    <w:p>
      <w:pPr>
        <w:pStyle w:val="ListParagraph"/>
        <w:numPr>
          <w:ilvl w:val="0"/>
          <w:numId w:val="2"/>
        </w:numPr>
        <w:spacing w:after="90"/>
      </w:pPr>
      <w:r>
        <w:rPr>
          <w:sz w:val="21"/>
          <w:szCs w:val="21"/>
        </w:rPr>
        <w:t xml:space="preserve">Whether HB 2198 advances out of Senate Finance, and any transitional protection for entities already certified under the data center exemption.</w:t>
      </w:r>
    </w:p>
    <w:p>
      <w:pPr>
        <w:pStyle w:val="ListParagraph"/>
        <w:numPr>
          <w:ilvl w:val="0"/>
          <w:numId w:val="2"/>
        </w:numPr>
        <w:spacing w:after="90"/>
      </w:pPr>
      <w:r>
        <w:rPr>
          <w:sz w:val="21"/>
          <w:szCs w:val="21"/>
        </w:rPr>
        <w:t xml:space="preserve">The correct street number and the Northampton County parcel identifier and current deeded owner for the Bethlehem site.</w:t>
      </w:r>
    </w:p>
    <w:p>
      <w:pPr>
        <w:pStyle w:val="ListParagraph"/>
        <w:numPr>
          <w:ilvl w:val="0"/>
          <w:numId w:val="2"/>
        </w:numPr>
        <w:spacing w:after="90"/>
      </w:pPr>
      <w:r>
        <w:rPr>
          <w:sz w:val="21"/>
          <w:szCs w:val="21"/>
        </w:rPr>
        <w:t xml:space="preserve">The floor area, resolving 13,935 sq m (150,000 sq ft) against 14,494 sq m (156,000 sq ft).</w:t>
      </w:r>
    </w:p>
    <w:p>
      <w:pPr>
        <w:pStyle w:val="ListParagraph"/>
        <w:numPr>
          <w:ilvl w:val="0"/>
          <w:numId w:val="2"/>
        </w:numPr>
        <w:spacing w:after="90"/>
      </w:pPr>
      <w:r>
        <w:rPr>
          <w:sz w:val="21"/>
          <w:szCs w:val="21"/>
        </w:rPr>
        <w:t xml:space="preserve">The existing heating plant at the Bethlehem site, being make, capacity, age and fuel.</w:t>
      </w:r>
    </w:p>
    <w:p>
      <w:pPr>
        <w:pStyle w:val="ListParagraph"/>
        <w:numPr>
          <w:ilvl w:val="0"/>
          <w:numId w:val="2"/>
        </w:numPr>
        <w:spacing w:after="90"/>
      </w:pPr>
      <w:r>
        <w:rPr>
          <w:sz w:val="21"/>
          <w:szCs w:val="21"/>
        </w:rPr>
        <w:t xml:space="preserve">Zoning designation for the parcel and any Keystone Opportunity Zone or Keystone Innovation Zone status and expiry.</w:t>
      </w:r>
    </w:p>
    <w:p>
      <w:pPr>
        <w:pStyle w:val="ListParagraph"/>
        <w:numPr>
          <w:ilvl w:val="0"/>
          <w:numId w:val="2"/>
        </w:numPr>
        <w:spacing w:after="90"/>
      </w:pPr>
      <w:r>
        <w:rPr>
          <w:sz w:val="21"/>
          <w:szCs w:val="21"/>
        </w:rPr>
        <w:t xml:space="preserve">The current expiry date of South Side LERTA District II and the abatement schedule as adopted by each of the three taxing bodies.</w:t>
      </w:r>
    </w:p>
    <w:p>
      <w:pPr>
        <w:pStyle w:val="ListParagraph"/>
        <w:numPr>
          <w:ilvl w:val="0"/>
          <w:numId w:val="2"/>
        </w:numPr>
        <w:spacing w:after="90"/>
      </w:pPr>
      <w:r>
        <w:rPr>
          <w:sz w:val="21"/>
          <w:szCs w:val="21"/>
        </w:rPr>
        <w:t xml:space="preserve">The RISE PA small scale Round 4 closing date, resolving 15 August against 17 August 2026, and whether a Round 5 is scheduled.</w:t>
      </w:r>
    </w:p>
    <w:p>
      <w:pPr>
        <w:pStyle w:val="ListParagraph"/>
        <w:numPr>
          <w:ilvl w:val="0"/>
          <w:numId w:val="2"/>
        </w:numPr>
        <w:spacing w:after="90"/>
      </w:pPr>
      <w:r>
        <w:rPr>
          <w:sz w:val="21"/>
          <w:szCs w:val="21"/>
        </w:rPr>
        <w:t xml:space="preserve">Whether DEP treats controlled environment agriculture as an industrial or manufacturing facility for RISE PA eligibility.</w:t>
      </w:r>
    </w:p>
    <w:p>
      <w:pPr>
        <w:pStyle w:val="ListParagraph"/>
        <w:numPr>
          <w:ilvl w:val="0"/>
          <w:numId w:val="2"/>
        </w:numPr>
        <w:spacing w:after="90"/>
      </w:pPr>
      <w:r>
        <w:rPr>
          <w:sz w:val="21"/>
          <w:szCs w:val="21"/>
        </w:rPr>
        <w:t xml:space="preserve">Act 129 Phase V per project ceilings and the Phase V technical reference manual treatment of heat recovery and liquid cooling as custom measures.</w:t>
      </w:r>
    </w:p>
    <w:p>
      <w:pPr>
        <w:pStyle w:val="ListParagraph"/>
        <w:numPr>
          <w:ilvl w:val="0"/>
          <w:numId w:val="2"/>
        </w:numPr>
        <w:spacing w:after="90"/>
      </w:pPr>
      <w:r>
        <w:rPr>
          <w:sz w:val="21"/>
          <w:szCs w:val="21"/>
        </w:rPr>
        <w:t xml:space="preserve">Whether PENNVEST will finance privately owned stormwater and rainwater harvesting infrastructure at an industrial site, given the public system wording in one project category.</w:t>
      </w:r>
    </w:p>
    <w:p>
      <w:pPr>
        <w:pStyle w:val="ListParagraph"/>
        <w:numPr>
          <w:ilvl w:val="0"/>
          <w:numId w:val="2"/>
        </w:numPr>
        <w:spacing w:after="90"/>
      </w:pPr>
      <w:r>
        <w:rPr>
          <w:sz w:val="21"/>
          <w:szCs w:val="21"/>
        </w:rPr>
        <w:t xml:space="preserve">Pennsylvania First programme ceiling and cost share, and current round status.</w:t>
      </w:r>
    </w:p>
    <w:p>
      <w:pPr>
        <w:pStyle w:val="ListParagraph"/>
        <w:numPr>
          <w:ilvl w:val="0"/>
          <w:numId w:val="2"/>
        </w:numPr>
        <w:spacing w:after="90"/>
      </w:pPr>
      <w:r>
        <w:rPr>
          <w:sz w:val="21"/>
          <w:szCs w:val="21"/>
        </w:rPr>
        <w:t xml:space="preserve">Whether the data center sales and use tax exemption reaches the Philadelphia 2 per cent and Allegheny 1 per cent local sales tax.</w:t>
      </w:r>
    </w:p>
    <w:p>
      <w:pPr>
        <w:pStyle w:val="ListParagraph"/>
        <w:numPr>
          <w:ilvl w:val="0"/>
          <w:numId w:val="2"/>
        </w:numPr>
        <w:spacing w:after="90"/>
      </w:pPr>
      <w:r>
        <w:rPr>
          <w:sz w:val="21"/>
          <w:szCs w:val="21"/>
        </w:rPr>
        <w:t xml:space="preserve">Whether any Department of Energy Industrial Efficiency and Decarbonization Office solicitation open to Pennsylvania sites is currently live.</w:t>
      </w:r>
    </w:p>
    <w:p>
      <w:pPr>
        <w:pStyle w:val="ListParagraph"/>
        <w:numPr>
          <w:ilvl w:val="0"/>
          <w:numId w:val="2"/>
        </w:numPr>
        <w:spacing w:after="90"/>
      </w:pPr>
      <w:r>
        <w:rPr>
          <w:sz w:val="21"/>
          <w:szCs w:val="21"/>
        </w:rPr>
        <w:t xml:space="preserve">The administering entity and status of the Green Bank for Rural America, and the outcome of the PEDA 11 million USD application.</w:t>
      </w:r>
    </w:p>
    <w:p>
      <w:pPr>
        <w:pStyle w:val="ListParagraph"/>
        <w:numPr>
          <w:ilvl w:val="0"/>
          <w:numId w:val="2"/>
        </w:numPr>
        <w:spacing w:after="90"/>
      </w:pPr>
      <w:r>
        <w:rPr>
          <w:sz w:val="21"/>
          <w:szCs w:val="21"/>
        </w:rPr>
        <w:t xml:space="preserve">Whether a dedicated DEP permit pathway exists for harvested rainwater serving fertigation, toilet flushing or fire reserve.</w:t>
      </w:r>
    </w:p>
    <w:p>
      <w:pPr>
        <w:pStyle w:val="ListParagraph"/>
        <w:numPr>
          <w:ilvl w:val="0"/>
          <w:numId w:val="2"/>
        </w:numPr>
        <w:spacing w:after="90"/>
      </w:pPr>
      <w:r>
        <w:rPr>
          <w:sz w:val="21"/>
          <w:szCs w:val="21"/>
        </w:rPr>
        <w:t xml:space="preserve">The aggregation criteria and majority beneficiary methodology reserved for future electric distribution company filings under the large load tariff.</w:t>
      </w:r>
    </w:p>
    <w:p>
      <w:pPr>
        <w:pBdr>
          <w:bottom w:val="single" w:color="CCCCCC" w:sz="6" w:space="1"/>
        </w:pBdr>
        <w:spacing w:after="200" w:before="120"/>
      </w:pPr>
      <w:r>
        <w:rPr>
          <w:sz w:val="2"/>
          <w:szCs w:val="2"/>
        </w:rPr>
        <w:t xml:space="preserve"/>
      </w:r>
    </w:p>
    <w:p>
      <w:pPr>
        <w:spacing w:after="140"/>
      </w:pPr>
      <w:r>
        <w:rPr>
          <w:i/>
          <w:iCs/>
          <w:sz w:val="21"/>
          <w:szCs w:val="21"/>
        </w:rPr>
        <w:t xml:space="preserve">End of note.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MicroLink Data Centers  |  Pennsylvania  |  30 July 2026  |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6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2026-07-30T06:57:52.791Z</dcterms:created>
  <dcterms:modified xsi:type="dcterms:W3CDTF">2026-07-30T06:57:52.804Z</dcterms:modified>
</cp:coreProperties>
</file>

<file path=docProps/custom.xml><?xml version="1.0" encoding="utf-8"?>
<Properties xmlns="http://schemas.openxmlformats.org/officeDocument/2006/custom-properties" xmlns:vt="http://schemas.openxmlformats.org/officeDocument/2006/docPropsVTypes"/>
</file>