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2020"/>
          <w:spacing w:val="40"/>
          <w:sz w:val="18"/>
          <w:szCs w:val="18"/>
        </w:rPr>
        <w:t xml:space="preserve">MICROLINK DATA CENTERS</w:t>
      </w:r>
    </w:p>
    <w:p>
      <w:pPr>
        <w:spacing w:after="80"/>
      </w:pPr>
      <w:r>
        <w:rPr>
          <w:b/>
          <w:bCs/>
          <w:color w:val="222222"/>
          <w:sz w:val="52"/>
          <w:szCs w:val="52"/>
        </w:rPr>
        <w:t xml:space="preserve">Illinois</w:t>
      </w:r>
    </w:p>
    <w:p>
      <w:pPr>
        <w:spacing w:after="240"/>
      </w:pPr>
      <w:r>
        <w:rPr>
          <w:color w:val="555555"/>
          <w:sz w:val="28"/>
          <w:szCs w:val="28"/>
        </w:rPr>
        <w:t xml:space="preserve">Programs, Regulation and Funding Mapped to the MicroLink Pipeline</w:t>
      </w:r>
    </w:p>
    <w:p>
      <w:pPr>
        <w:spacing w:after="40"/>
      </w:pPr>
      <w:r>
        <w:rPr>
          <w:b/>
          <w:bCs/>
          <w:sz w:val="21"/>
          <w:szCs w:val="21"/>
        </w:rPr>
        <w:t xml:space="preserve">Research note. Position as at 30 July 2026. Third in the series after New York State and Pennsylvania.</w:t>
      </w:r>
    </w:p>
    <w:p>
      <w:pPr>
        <w:spacing w:after="140"/>
      </w:pPr>
      <w:r>
        <w:rPr>
          <w:sz w:val="21"/>
          <w:szCs w:val="21"/>
        </w:rPr>
        <w:t xml:space="preserve">Compiled from DCEO, the Illinois Commerce Commission, Illinois EPA, the Illinois Finance Authority and Illinois Climate Bank, the Illinois General Assembly, the Illinois Department of Agriculture, the Illinois State Water Survey, MWRD, CenTrio, ILSAG, USDA, US EPA and EIA, with named press and trade sources where used. Where sources conflict, both figures are given with the source named.</w:t>
      </w:r>
    </w:p>
    <w:p>
      <w:pPr>
        <w:spacing w:after="140"/>
      </w:pPr>
      <w:r>
        <w:rPr>
          <w:sz w:val="21"/>
          <w:szCs w:val="21"/>
        </w:rPr>
        <w:t xml:space="preserve">This note describes MWRD and the Stickney Water Reclamation Plant as public institutions and as a thermal resource class, using published figures. It contains no statement of affiliation, partnership, endorsement or integration.</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 Flags</w:t>
      </w:r>
    </w:p>
    <w:p>
      <w:pPr>
        <w:pStyle w:val="ListParagraph"/>
        <w:numPr>
          <w:ilvl w:val="0"/>
          <w:numId w:val="2"/>
        </w:numPr>
        <w:spacing w:after="90"/>
      </w:pPr>
      <w:r>
        <w:rPr>
          <w:sz w:val="21"/>
          <w:szCs w:val="21"/>
        </w:rPr>
        <w:t xml:space="preserve">The Data Center Investment Program is paused to new applicants. Per a Governor’s directive dated 5 June 2026, DCEO stopped processing applications as of 1 July 2026. Collocation and certificate issuance otherwise continue until 1 July 2029. The 2025 annual report states the pause runs while a framework is worked out with the General Assembly linking future incentives to affordability, natural resource protection and responsible growth.</w:t>
      </w:r>
    </w:p>
    <w:p>
      <w:pPr>
        <w:pStyle w:val="ListParagraph"/>
        <w:numPr>
          <w:ilvl w:val="0"/>
          <w:numId w:val="2"/>
        </w:numPr>
        <w:spacing w:after="90"/>
      </w:pPr>
      <w:r>
        <w:rPr>
          <w:sz w:val="21"/>
          <w:szCs w:val="21"/>
        </w:rPr>
        <w:t xml:space="preserve">The programme’s green building requirement names eight qualifying routes, and carbon neutrality is an alternative to all of them. This is the only state programme in the three states covered so far that puts an environmental certification inside the qualifying test for a data center tax incentive.</w:t>
      </w:r>
    </w:p>
    <w:p>
      <w:pPr>
        <w:pStyle w:val="ListParagraph"/>
        <w:numPr>
          <w:ilvl w:val="0"/>
          <w:numId w:val="2"/>
        </w:numPr>
        <w:spacing w:after="90"/>
      </w:pPr>
      <w:r>
        <w:rPr>
          <w:sz w:val="21"/>
          <w:szCs w:val="21"/>
        </w:rPr>
        <w:t xml:space="preserve">The Illinois Commerce Commission order of 19 March 2026 in Docket Nos. 25-0677 and 25-0679 consolidated approved increased refundable deposits for Large Demand Project Applicants or Customers at 50 MW or more, starting at 1,000,000 USD for 50 to 200 MW and increasing by 500,000 USD for each additional 100 MW above 200 MW. Deposits do not apply to data centers already on the grid.</w:t>
      </w:r>
    </w:p>
    <w:p>
      <w:pPr>
        <w:pStyle w:val="ListParagraph"/>
        <w:numPr>
          <w:ilvl w:val="0"/>
          <w:numId w:val="2"/>
        </w:numPr>
        <w:spacing w:after="90"/>
      </w:pPr>
      <w:r>
        <w:rPr>
          <w:sz w:val="21"/>
          <w:szCs w:val="21"/>
        </w:rPr>
        <w:t xml:space="preserve">The Commission directed Staff to open a docketed investigation by 23 April 2026 into ratepayer protections and cost allocation for large loads, to complete within eight months. ComEd files an annual compliance report on 1 February.</w:t>
      </w:r>
    </w:p>
    <w:p>
      <w:pPr>
        <w:pStyle w:val="ListParagraph"/>
        <w:numPr>
          <w:ilvl w:val="0"/>
          <w:numId w:val="2"/>
        </w:numPr>
        <w:spacing w:after="90"/>
      </w:pPr>
      <w:r>
        <w:rPr>
          <w:sz w:val="21"/>
          <w:szCs w:val="21"/>
        </w:rPr>
        <w:t xml:space="preserve">The Illinois Commerce Commission Thermal Energy Network Report of February 2024 identifies data centers as a leading waste heat source and names the Chicago district cooling system as an expansion opportunity for recovering surplus data center energy for district heating.</w:t>
      </w:r>
    </w:p>
    <w:p>
      <w:pPr>
        <w:pStyle w:val="ListParagraph"/>
        <w:numPr>
          <w:ilvl w:val="0"/>
          <w:numId w:val="2"/>
        </w:numPr>
        <w:spacing w:after="90"/>
      </w:pPr>
      <w:r>
        <w:rPr>
          <w:sz w:val="21"/>
          <w:szCs w:val="21"/>
        </w:rPr>
        <w:t xml:space="preserve">ComEd large load interconnection requests grew from 80 MW in 2019 to 8,272 MW in 2025. ComEd has applications for 28 GW of maximum power demand from 75 prospective large customers, against an all time peak demand of 24 GW.</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2. Scope and method</w:t>
      </w:r>
    </w:p>
    <w:p>
      <w:pPr>
        <w:spacing w:after="140"/>
      </w:pPr>
      <w:r>
        <w:rPr>
          <w:sz w:val="21"/>
          <w:szCs w:val="21"/>
        </w:rPr>
        <w:t xml:space="preserve">Illinois splits its estate across DCEO for incentives and site programmes, the Illinois Commerce Commission for utility regulation and thermal network policy, Illinois EPA for revolving funds and federal climate money, and the Illinois Finance Authority acting as the Illinois Climate Bank. The Illinois Environmental Protection Agency and the utilities share the energy efficiency function through the ILSAG process.</w:t>
      </w:r>
    </w:p>
    <w:p>
      <w:pPr>
        <w:spacing w:after="80" w:before="160"/>
      </w:pPr>
      <w:r>
        <w:rPr>
          <w:b/>
          <w:bCs/>
          <w:sz w:val="21"/>
          <w:szCs w:val="21"/>
        </w:rPr>
        <w:t xml:space="preserve">Coverage boundary</w:t>
      </w:r>
    </w:p>
    <w:p>
      <w:pPr>
        <w:spacing w:after="140"/>
      </w:pPr>
      <w:r>
        <w:rPr>
          <w:sz w:val="21"/>
          <w:szCs w:val="21"/>
        </w:rPr>
        <w:t xml:space="preserve">Illinois only. New York State and Pennsylvania are in the two companion notes. The northern siting envelope data in section 14 is included because Illinois spans a wide climate range from north to south, which changes the recovered heat case within the state.</w:t>
      </w:r>
    </w:p>
    <w:p>
      <w:pPr>
        <w:spacing w:after="80" w:before="160"/>
      </w:pPr>
      <w:r>
        <w:rPr>
          <w:b/>
          <w:bCs/>
          <w:sz w:val="21"/>
          <w:szCs w:val="21"/>
        </w:rPr>
        <w:t xml:space="preserve">Items requiring primary source verification</w:t>
      </w:r>
    </w:p>
    <w:p>
      <w:pPr>
        <w:pStyle w:val="ListParagraph"/>
        <w:numPr>
          <w:ilvl w:val="0"/>
          <w:numId w:val="2"/>
        </w:numPr>
        <w:spacing w:after="90"/>
      </w:pPr>
      <w:r>
        <w:rPr>
          <w:sz w:val="21"/>
          <w:szCs w:val="21"/>
        </w:rPr>
        <w:t xml:space="preserve">The Illinois Technical Reference Manual treatment of heat recovery, liquid cooling and thermal storage as commercial and industrial efficiency measures under the 2026 to 2029 plans.</w:t>
      </w:r>
    </w:p>
    <w:p>
      <w:pPr>
        <w:pStyle w:val="ListParagraph"/>
        <w:numPr>
          <w:ilvl w:val="0"/>
          <w:numId w:val="2"/>
        </w:numPr>
        <w:spacing w:after="90"/>
      </w:pPr>
      <w:r>
        <w:rPr>
          <w:sz w:val="21"/>
          <w:szCs w:val="21"/>
        </w:rPr>
        <w:t xml:space="preserve">Whether any Ameren Illinois large load tariff docket exists at the Illinois Commerce Commission. Ameren’s large load rate plan at 75 MW and above is a Missouri Public Service Commission matter.</w:t>
      </w:r>
    </w:p>
    <w:p>
      <w:pPr>
        <w:pStyle w:val="ListParagraph"/>
        <w:numPr>
          <w:ilvl w:val="0"/>
          <w:numId w:val="2"/>
        </w:numPr>
        <w:spacing w:after="90"/>
      </w:pPr>
      <w:r>
        <w:rPr>
          <w:sz w:val="21"/>
          <w:szCs w:val="21"/>
        </w:rPr>
        <w:t xml:space="preserve">Whether any dedicated Illinois indoor farming or greenhouse energy grant exists.</w:t>
      </w:r>
    </w:p>
    <w:p>
      <w:pPr>
        <w:pStyle w:val="ListParagraph"/>
        <w:numPr>
          <w:ilvl w:val="0"/>
          <w:numId w:val="2"/>
        </w:numPr>
        <w:spacing w:after="90"/>
      </w:pPr>
      <w:r>
        <w:rPr>
          <w:sz w:val="21"/>
          <w:szCs w:val="21"/>
        </w:rPr>
        <w:t xml:space="preserve">The shape of the successor framework to the Data Center Investment Program being worked out with the General Assembly.</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3. Status and deadlines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600"/>
        <w:gridCol w:w="1500"/>
        <w:gridCol w:w="1700"/>
        <w:gridCol w:w="3560"/>
      </w:tblGrid>
      <w:tr>
        <w:trPr>
          <w:tblHeader/>
        </w:trPr>
        <w:tc>
          <w:tcPr>
            <w:tcW w:type="dxa" w:w="2600"/>
            <w:shd w:fill="F2F2F2" w:color="auto" w:val="clear"/>
            <w:tcMar>
              <w:top w:type="dxa" w:w="80"/>
              <w:left w:type="dxa" w:w="110"/>
              <w:bottom w:type="dxa" w:w="80"/>
              <w:right w:type="dxa" w:w="110"/>
            </w:tcMar>
          </w:tcPr>
          <w:p>
            <w:r>
              <w:rPr>
                <w:b/>
                <w:bCs/>
                <w:sz w:val="18"/>
                <w:szCs w:val="18"/>
              </w:rPr>
              <w:t xml:space="preserve">Instrument</w:t>
            </w:r>
          </w:p>
        </w:tc>
        <w:tc>
          <w:tcPr>
            <w:tcW w:type="dxa" w:w="1500"/>
            <w:shd w:fill="F2F2F2" w:color="auto" w:val="clear"/>
            <w:tcMar>
              <w:top w:type="dxa" w:w="80"/>
              <w:left w:type="dxa" w:w="110"/>
              <w:bottom w:type="dxa" w:w="80"/>
              <w:right w:type="dxa" w:w="110"/>
            </w:tcMar>
          </w:tcPr>
          <w:p>
            <w:r>
              <w:rPr>
                <w:b/>
                <w:bCs/>
                <w:sz w:val="18"/>
                <w:szCs w:val="18"/>
              </w:rPr>
              <w:t xml:space="preserve">Type</w:t>
            </w:r>
          </w:p>
        </w:tc>
        <w:tc>
          <w:tcPr>
            <w:tcW w:type="dxa" w:w="1700"/>
            <w:shd w:fill="F2F2F2" w:color="auto" w:val="clear"/>
            <w:tcMar>
              <w:top w:type="dxa" w:w="80"/>
              <w:left w:type="dxa" w:w="110"/>
              <w:bottom w:type="dxa" w:w="80"/>
              <w:right w:type="dxa" w:w="110"/>
            </w:tcMar>
          </w:tcPr>
          <w:p>
            <w:r>
              <w:rPr>
                <w:b/>
                <w:bCs/>
                <w:sz w:val="18"/>
                <w:szCs w:val="18"/>
              </w:rPr>
              <w:t xml:space="preserve">Key date</w:t>
            </w:r>
          </w:p>
        </w:tc>
        <w:tc>
          <w:tcPr>
            <w:tcW w:type="dxa" w:w="3560"/>
            <w:shd w:fill="F2F2F2" w:color="auto" w:val="clear"/>
            <w:tcMar>
              <w:top w:type="dxa" w:w="80"/>
              <w:left w:type="dxa" w:w="110"/>
              <w:bottom w:type="dxa" w:w="80"/>
              <w:right w:type="dxa" w:w="110"/>
            </w:tcMar>
          </w:tcPr>
          <w:p>
            <w:r>
              <w:rPr>
                <w:b/>
                <w:bCs/>
                <w:sz w:val="18"/>
                <w:szCs w:val="18"/>
              </w:rPr>
              <w:t xml:space="preserve">Status</w:t>
            </w:r>
          </w:p>
        </w:tc>
      </w:tr>
      <w:tr>
        <w:trPr>
          <w:tblHeader w:val="false"/>
        </w:trPr>
        <w:tc>
          <w:tcPr>
            <w:tcW w:type="dxa" w:w="2600"/>
            <w:tcMar>
              <w:top w:type="dxa" w:w="80"/>
              <w:left w:type="dxa" w:w="110"/>
              <w:bottom w:type="dxa" w:w="80"/>
              <w:right w:type="dxa" w:w="110"/>
            </w:tcMar>
          </w:tcPr>
          <w:p>
            <w:r>
              <w:rPr>
                <w:sz w:val="18"/>
                <w:szCs w:val="18"/>
              </w:rPr>
              <w:t xml:space="preserve">Data Center Investment Program</w:t>
            </w:r>
          </w:p>
        </w:tc>
        <w:tc>
          <w:tcPr>
            <w:tcW w:type="dxa" w:w="1500"/>
            <w:tcMar>
              <w:top w:type="dxa" w:w="80"/>
              <w:left w:type="dxa" w:w="110"/>
              <w:bottom w:type="dxa" w:w="80"/>
              <w:right w:type="dxa" w:w="110"/>
            </w:tcMar>
          </w:tcPr>
          <w:p>
            <w:r>
              <w:rPr>
                <w:sz w:val="18"/>
                <w:szCs w:val="18"/>
              </w:rPr>
              <w:t xml:space="preserve">Sales and use tax exemption</w:t>
            </w:r>
          </w:p>
        </w:tc>
        <w:tc>
          <w:tcPr>
            <w:tcW w:type="dxa" w:w="1700"/>
            <w:tcMar>
              <w:top w:type="dxa" w:w="80"/>
              <w:left w:type="dxa" w:w="110"/>
              <w:bottom w:type="dxa" w:w="80"/>
              <w:right w:type="dxa" w:w="110"/>
            </w:tcMar>
          </w:tcPr>
          <w:p>
            <w:r>
              <w:rPr>
                <w:sz w:val="18"/>
                <w:szCs w:val="18"/>
              </w:rPr>
              <w:t xml:space="preserve">1 Jul 2026 pause, 1 Jul 2029 sunset</w:t>
            </w:r>
          </w:p>
        </w:tc>
        <w:tc>
          <w:tcPr>
            <w:tcW w:type="dxa" w:w="3560"/>
            <w:tcMar>
              <w:top w:type="dxa" w:w="80"/>
              <w:left w:type="dxa" w:w="110"/>
              <w:bottom w:type="dxa" w:w="80"/>
              <w:right w:type="dxa" w:w="110"/>
            </w:tcMar>
          </w:tcPr>
          <w:p>
            <w:r>
              <w:rPr>
                <w:sz w:val="18"/>
                <w:szCs w:val="18"/>
              </w:rPr>
              <w:t xml:space="preserve">PAUSED to new applications. Existing certificates and collocation continue</w:t>
            </w:r>
          </w:p>
        </w:tc>
      </w:tr>
      <w:tr>
        <w:trPr>
          <w:tblHeader w:val="false"/>
        </w:trPr>
        <w:tc>
          <w:tcPr>
            <w:tcW w:type="dxa" w:w="2600"/>
            <w:tcMar>
              <w:top w:type="dxa" w:w="80"/>
              <w:left w:type="dxa" w:w="110"/>
              <w:bottom w:type="dxa" w:w="80"/>
              <w:right w:type="dxa" w:w="110"/>
            </w:tcMar>
          </w:tcPr>
          <w:p>
            <w:r>
              <w:rPr>
                <w:sz w:val="18"/>
                <w:szCs w:val="18"/>
              </w:rPr>
              <w:t xml:space="preserve">ICC large load deposits, 25-0677 and 25-0679</w:t>
            </w:r>
          </w:p>
        </w:tc>
        <w:tc>
          <w:tcPr>
            <w:tcW w:type="dxa" w:w="1500"/>
            <w:tcMar>
              <w:top w:type="dxa" w:w="80"/>
              <w:left w:type="dxa" w:w="110"/>
              <w:bottom w:type="dxa" w:w="80"/>
              <w:right w:type="dxa" w:w="110"/>
            </w:tcMar>
          </w:tcPr>
          <w:p>
            <w:r>
              <w:rPr>
                <w:sz w:val="18"/>
                <w:szCs w:val="18"/>
              </w:rPr>
              <w:t xml:space="preserve">Tariff</w:t>
            </w:r>
          </w:p>
        </w:tc>
        <w:tc>
          <w:tcPr>
            <w:tcW w:type="dxa" w:w="1700"/>
            <w:tcMar>
              <w:top w:type="dxa" w:w="80"/>
              <w:left w:type="dxa" w:w="110"/>
              <w:bottom w:type="dxa" w:w="80"/>
              <w:right w:type="dxa" w:w="110"/>
            </w:tcMar>
          </w:tcPr>
          <w:p>
            <w:r>
              <w:rPr>
                <w:sz w:val="18"/>
                <w:szCs w:val="18"/>
              </w:rPr>
              <w:t xml:space="preserve">Order 19 Mar 2026</w:t>
            </w:r>
          </w:p>
        </w:tc>
        <w:tc>
          <w:tcPr>
            <w:tcW w:type="dxa" w:w="3560"/>
            <w:tcMar>
              <w:top w:type="dxa" w:w="80"/>
              <w:left w:type="dxa" w:w="110"/>
              <w:bottom w:type="dxa" w:w="80"/>
              <w:right w:type="dxa" w:w="110"/>
            </w:tcMar>
          </w:tcPr>
          <w:p>
            <w:r>
              <w:rPr>
                <w:sz w:val="18"/>
                <w:szCs w:val="18"/>
              </w:rPr>
              <w:t xml:space="preserve">IN FORCE. ComEd compliance filing made 30 Mar 2026</w:t>
            </w:r>
          </w:p>
        </w:tc>
      </w:tr>
      <w:tr>
        <w:trPr>
          <w:tblHeader w:val="false"/>
        </w:trPr>
        <w:tc>
          <w:tcPr>
            <w:tcW w:type="dxa" w:w="2600"/>
            <w:tcMar>
              <w:top w:type="dxa" w:w="80"/>
              <w:left w:type="dxa" w:w="110"/>
              <w:bottom w:type="dxa" w:w="80"/>
              <w:right w:type="dxa" w:w="110"/>
            </w:tcMar>
          </w:tcPr>
          <w:p>
            <w:r>
              <w:rPr>
                <w:sz w:val="18"/>
                <w:szCs w:val="18"/>
              </w:rPr>
              <w:t xml:space="preserve">ICC large load cost allocation investigation</w:t>
            </w:r>
          </w:p>
        </w:tc>
        <w:tc>
          <w:tcPr>
            <w:tcW w:type="dxa" w:w="1500"/>
            <w:tcMar>
              <w:top w:type="dxa" w:w="80"/>
              <w:left w:type="dxa" w:w="110"/>
              <w:bottom w:type="dxa" w:w="80"/>
              <w:right w:type="dxa" w:w="110"/>
            </w:tcMar>
          </w:tcPr>
          <w:p>
            <w:r>
              <w:rPr>
                <w:sz w:val="18"/>
                <w:szCs w:val="18"/>
              </w:rPr>
              <w:t xml:space="preserve">Docket</w:t>
            </w:r>
          </w:p>
        </w:tc>
        <w:tc>
          <w:tcPr>
            <w:tcW w:type="dxa" w:w="1700"/>
            <w:tcMar>
              <w:top w:type="dxa" w:w="80"/>
              <w:left w:type="dxa" w:w="110"/>
              <w:bottom w:type="dxa" w:w="80"/>
              <w:right w:type="dxa" w:w="110"/>
            </w:tcMar>
          </w:tcPr>
          <w:p>
            <w:r>
              <w:rPr>
                <w:sz w:val="18"/>
                <w:szCs w:val="18"/>
              </w:rPr>
              <w:t xml:space="preserve">Opened by 23 Apr 2026</w:t>
            </w:r>
          </w:p>
        </w:tc>
        <w:tc>
          <w:tcPr>
            <w:tcW w:type="dxa" w:w="3560"/>
            <w:tcMar>
              <w:top w:type="dxa" w:w="80"/>
              <w:left w:type="dxa" w:w="110"/>
              <w:bottom w:type="dxa" w:w="80"/>
              <w:right w:type="dxa" w:w="110"/>
            </w:tcMar>
          </w:tcPr>
          <w:p>
            <w:r>
              <w:rPr>
                <w:sz w:val="18"/>
                <w:szCs w:val="18"/>
              </w:rPr>
              <w:t xml:space="preserve">OPEN. Eight month completion window</w:t>
            </w:r>
          </w:p>
        </w:tc>
      </w:tr>
      <w:tr>
        <w:trPr>
          <w:tblHeader w:val="false"/>
        </w:trPr>
        <w:tc>
          <w:tcPr>
            <w:tcW w:type="dxa" w:w="2600"/>
            <w:tcMar>
              <w:top w:type="dxa" w:w="80"/>
              <w:left w:type="dxa" w:w="110"/>
              <w:bottom w:type="dxa" w:w="80"/>
              <w:right w:type="dxa" w:w="110"/>
            </w:tcMar>
          </w:tcPr>
          <w:p>
            <w:r>
              <w:rPr>
                <w:sz w:val="18"/>
                <w:szCs w:val="18"/>
              </w:rPr>
              <w:t xml:space="preserve">Utility efficiency, 8-103B and 8-104</w:t>
            </w:r>
          </w:p>
        </w:tc>
        <w:tc>
          <w:tcPr>
            <w:tcW w:type="dxa" w:w="1500"/>
            <w:tcMar>
              <w:top w:type="dxa" w:w="80"/>
              <w:left w:type="dxa" w:w="110"/>
              <w:bottom w:type="dxa" w:w="80"/>
              <w:right w:type="dxa" w:w="110"/>
            </w:tcMar>
          </w:tcPr>
          <w:p>
            <w:r>
              <w:rPr>
                <w:sz w:val="18"/>
                <w:szCs w:val="18"/>
              </w:rPr>
              <w:t xml:space="preserve">Utility incentive</w:t>
            </w:r>
          </w:p>
        </w:tc>
        <w:tc>
          <w:tcPr>
            <w:tcW w:type="dxa" w:w="1700"/>
            <w:tcMar>
              <w:top w:type="dxa" w:w="80"/>
              <w:left w:type="dxa" w:w="110"/>
              <w:bottom w:type="dxa" w:w="80"/>
              <w:right w:type="dxa" w:w="110"/>
            </w:tcMar>
          </w:tcPr>
          <w:p>
            <w:r>
              <w:rPr>
                <w:sz w:val="18"/>
                <w:szCs w:val="18"/>
              </w:rPr>
              <w:t xml:space="preserve">Plans run 1 Jan 2026 to 31 Dec 2029</w:t>
            </w:r>
          </w:p>
        </w:tc>
        <w:tc>
          <w:tcPr>
            <w:tcW w:type="dxa" w:w="3560"/>
            <w:tcMar>
              <w:top w:type="dxa" w:w="80"/>
              <w:left w:type="dxa" w:w="110"/>
              <w:bottom w:type="dxa" w:w="80"/>
              <w:right w:type="dxa" w:w="110"/>
            </w:tcMar>
          </w:tcPr>
          <w:p>
            <w:r>
              <w:rPr>
                <w:sz w:val="18"/>
                <w:szCs w:val="18"/>
              </w:rPr>
              <w:t xml:space="preserve">OPEN. Updated three year plans filed 1 Jun 2026 for 2027 to 2029</w:t>
            </w:r>
          </w:p>
        </w:tc>
      </w:tr>
      <w:tr>
        <w:trPr>
          <w:tblHeader w:val="false"/>
        </w:trPr>
        <w:tc>
          <w:tcPr>
            <w:tcW w:type="dxa" w:w="2600"/>
            <w:tcMar>
              <w:top w:type="dxa" w:w="80"/>
              <w:left w:type="dxa" w:w="110"/>
              <w:bottom w:type="dxa" w:w="80"/>
              <w:right w:type="dxa" w:w="110"/>
            </w:tcMar>
          </w:tcPr>
          <w:p>
            <w:r>
              <w:rPr>
                <w:sz w:val="18"/>
                <w:szCs w:val="18"/>
              </w:rPr>
              <w:t xml:space="preserve">C-PACE</w:t>
            </w:r>
          </w:p>
        </w:tc>
        <w:tc>
          <w:tcPr>
            <w:tcW w:type="dxa" w:w="1500"/>
            <w:tcMar>
              <w:top w:type="dxa" w:w="80"/>
              <w:left w:type="dxa" w:w="110"/>
              <w:bottom w:type="dxa" w:w="80"/>
              <w:right w:type="dxa" w:w="110"/>
            </w:tcMar>
          </w:tcPr>
          <w:p>
            <w:r>
              <w:rPr>
                <w:sz w:val="18"/>
                <w:szCs w:val="18"/>
              </w:rPr>
              <w:t xml:space="preserve">Assessment finance</w:t>
            </w:r>
          </w:p>
        </w:tc>
        <w:tc>
          <w:tcPr>
            <w:tcW w:type="dxa" w:w="1700"/>
            <w:tcMar>
              <w:top w:type="dxa" w:w="80"/>
              <w:left w:type="dxa" w:w="110"/>
              <w:bottom w:type="dxa" w:w="80"/>
              <w:right w:type="dxa" w:w="110"/>
            </w:tcMar>
          </w:tcPr>
          <w:p>
            <w:r>
              <w:rPr>
                <w:sz w:val="18"/>
                <w:szCs w:val="18"/>
              </w:rPr>
              <w:t xml:space="preserve">Rolling</w:t>
            </w:r>
          </w:p>
        </w:tc>
        <w:tc>
          <w:tcPr>
            <w:tcW w:type="dxa" w:w="3560"/>
            <w:tcMar>
              <w:top w:type="dxa" w:w="80"/>
              <w:left w:type="dxa" w:w="110"/>
              <w:bottom w:type="dxa" w:w="80"/>
              <w:right w:type="dxa" w:w="110"/>
            </w:tcMar>
          </w:tcPr>
          <w:p>
            <w:r>
              <w:rPr>
                <w:sz w:val="18"/>
                <w:szCs w:val="18"/>
              </w:rPr>
              <w:t xml:space="preserve">OPEN in Cook and other counties and in the City of Chicago</w:t>
            </w:r>
          </w:p>
        </w:tc>
      </w:tr>
      <w:tr>
        <w:trPr>
          <w:tblHeader w:val="false"/>
        </w:trPr>
        <w:tc>
          <w:tcPr>
            <w:tcW w:type="dxa" w:w="2600"/>
            <w:tcMar>
              <w:top w:type="dxa" w:w="80"/>
              <w:left w:type="dxa" w:w="110"/>
              <w:bottom w:type="dxa" w:w="80"/>
              <w:right w:type="dxa" w:w="110"/>
            </w:tcMar>
          </w:tcPr>
          <w:p>
            <w:r>
              <w:rPr>
                <w:sz w:val="18"/>
                <w:szCs w:val="18"/>
              </w:rPr>
              <w:t xml:space="preserve">Illinois EPA State Revolving Fund</w:t>
            </w:r>
          </w:p>
        </w:tc>
        <w:tc>
          <w:tcPr>
            <w:tcW w:type="dxa" w:w="1500"/>
            <w:tcMar>
              <w:top w:type="dxa" w:w="80"/>
              <w:left w:type="dxa" w:w="110"/>
              <w:bottom w:type="dxa" w:w="80"/>
              <w:right w:type="dxa" w:w="110"/>
            </w:tcMar>
          </w:tcPr>
          <w:p>
            <w:r>
              <w:rPr>
                <w:sz w:val="18"/>
                <w:szCs w:val="18"/>
              </w:rPr>
              <w:t xml:space="preserve">Loan, some principal forgiveness</w:t>
            </w:r>
          </w:p>
        </w:tc>
        <w:tc>
          <w:tcPr>
            <w:tcW w:type="dxa" w:w="1700"/>
            <w:tcMar>
              <w:top w:type="dxa" w:w="80"/>
              <w:left w:type="dxa" w:w="110"/>
              <w:bottom w:type="dxa" w:w="80"/>
              <w:right w:type="dxa" w:w="110"/>
            </w:tcMar>
          </w:tcPr>
          <w:p>
            <w:r>
              <w:rPr>
                <w:sz w:val="18"/>
                <w:szCs w:val="18"/>
              </w:rPr>
              <w:t xml:space="preserve">Nomination form 31 Mar annually</w:t>
            </w:r>
          </w:p>
        </w:tc>
        <w:tc>
          <w:tcPr>
            <w:tcW w:type="dxa" w:w="3560"/>
            <w:tcMar>
              <w:top w:type="dxa" w:w="80"/>
              <w:left w:type="dxa" w:w="110"/>
              <w:bottom w:type="dxa" w:w="80"/>
              <w:right w:type="dxa" w:w="110"/>
            </w:tcMar>
          </w:tcPr>
          <w:p>
            <w:r>
              <w:rPr>
                <w:sz w:val="18"/>
                <w:szCs w:val="18"/>
              </w:rPr>
              <w:t xml:space="preserve">OPEN. State fiscal year cycle</w:t>
            </w:r>
          </w:p>
        </w:tc>
      </w:tr>
      <w:tr>
        <w:trPr>
          <w:tblHeader w:val="false"/>
        </w:trPr>
        <w:tc>
          <w:tcPr>
            <w:tcW w:type="dxa" w:w="2600"/>
            <w:tcMar>
              <w:top w:type="dxa" w:w="80"/>
              <w:left w:type="dxa" w:w="110"/>
              <w:bottom w:type="dxa" w:w="80"/>
              <w:right w:type="dxa" w:w="110"/>
            </w:tcMar>
          </w:tcPr>
          <w:p>
            <w:r>
              <w:rPr>
                <w:sz w:val="18"/>
                <w:szCs w:val="18"/>
              </w:rPr>
              <w:t xml:space="preserve">Energy Efficiency Revolving Loan Fund</w:t>
            </w:r>
          </w:p>
        </w:tc>
        <w:tc>
          <w:tcPr>
            <w:tcW w:type="dxa" w:w="1500"/>
            <w:tcMar>
              <w:top w:type="dxa" w:w="80"/>
              <w:left w:type="dxa" w:w="110"/>
              <w:bottom w:type="dxa" w:w="80"/>
              <w:right w:type="dxa" w:w="110"/>
            </w:tcMar>
          </w:tcPr>
          <w:p>
            <w:r>
              <w:rPr>
                <w:sz w:val="18"/>
                <w:szCs w:val="18"/>
              </w:rPr>
              <w:t xml:space="preserve">Loan</w:t>
            </w:r>
          </w:p>
        </w:tc>
        <w:tc>
          <w:tcPr>
            <w:tcW w:type="dxa" w:w="1700"/>
            <w:tcMar>
              <w:top w:type="dxa" w:w="80"/>
              <w:left w:type="dxa" w:w="110"/>
              <w:bottom w:type="dxa" w:w="80"/>
              <w:right w:type="dxa" w:w="110"/>
            </w:tcMar>
          </w:tcPr>
          <w:p>
            <w:r>
              <w:rPr>
                <w:sz w:val="18"/>
                <w:szCs w:val="18"/>
              </w:rPr>
              <w:t xml:space="preserve">Rolling</w:t>
            </w:r>
          </w:p>
        </w:tc>
        <w:tc>
          <w:tcPr>
            <w:tcW w:type="dxa" w:w="3560"/>
            <w:tcMar>
              <w:top w:type="dxa" w:w="80"/>
              <w:left w:type="dxa" w:w="110"/>
              <w:bottom w:type="dxa" w:w="80"/>
              <w:right w:type="dxa" w:w="110"/>
            </w:tcMar>
          </w:tcPr>
          <w:p>
            <w:r>
              <w:rPr>
                <w:sz w:val="18"/>
                <w:szCs w:val="18"/>
              </w:rPr>
              <w:t xml:space="preserve">OPEN</w:t>
            </w:r>
          </w:p>
        </w:tc>
      </w:tr>
      <w:tr>
        <w:trPr>
          <w:tblHeader w:val="false"/>
        </w:trPr>
        <w:tc>
          <w:tcPr>
            <w:tcW w:type="dxa" w:w="2600"/>
            <w:tcMar>
              <w:top w:type="dxa" w:w="80"/>
              <w:left w:type="dxa" w:w="110"/>
              <w:bottom w:type="dxa" w:w="80"/>
              <w:right w:type="dxa" w:w="110"/>
            </w:tcMar>
          </w:tcPr>
          <w:p>
            <w:r>
              <w:rPr>
                <w:sz w:val="18"/>
                <w:szCs w:val="18"/>
              </w:rPr>
              <w:t xml:space="preserve">Energy Efficiency Trust Fund Grant</w:t>
            </w:r>
          </w:p>
        </w:tc>
        <w:tc>
          <w:tcPr>
            <w:tcW w:type="dxa" w:w="1500"/>
            <w:tcMar>
              <w:top w:type="dxa" w:w="80"/>
              <w:left w:type="dxa" w:w="110"/>
              <w:bottom w:type="dxa" w:w="80"/>
              <w:right w:type="dxa" w:w="110"/>
            </w:tcMar>
          </w:tcPr>
          <w:p>
            <w:r>
              <w:rPr>
                <w:sz w:val="18"/>
                <w:szCs w:val="18"/>
              </w:rPr>
              <w:t xml:space="preserve">Grant</w:t>
            </w:r>
          </w:p>
        </w:tc>
        <w:tc>
          <w:tcPr>
            <w:tcW w:type="dxa" w:w="1700"/>
            <w:tcMar>
              <w:top w:type="dxa" w:w="80"/>
              <w:left w:type="dxa" w:w="110"/>
              <w:bottom w:type="dxa" w:w="80"/>
              <w:right w:type="dxa" w:w="110"/>
            </w:tcMar>
          </w:tcPr>
          <w:p>
            <w:r>
              <w:rPr>
                <w:sz w:val="18"/>
                <w:szCs w:val="18"/>
              </w:rPr>
              <w:t xml:space="preserve">Until funds expended</w:t>
            </w:r>
          </w:p>
        </w:tc>
        <w:tc>
          <w:tcPr>
            <w:tcW w:type="dxa" w:w="3560"/>
            <w:tcMar>
              <w:top w:type="dxa" w:w="80"/>
              <w:left w:type="dxa" w:w="110"/>
              <w:bottom w:type="dxa" w:w="80"/>
              <w:right w:type="dxa" w:w="110"/>
            </w:tcMar>
          </w:tcPr>
          <w:p>
            <w:r>
              <w:rPr>
                <w:sz w:val="18"/>
                <w:szCs w:val="18"/>
              </w:rPr>
              <w:t xml:space="preserve">OPEN</w:t>
            </w:r>
          </w:p>
        </w:tc>
      </w:tr>
      <w:tr>
        <w:trPr>
          <w:tblHeader w:val="false"/>
        </w:trPr>
        <w:tc>
          <w:tcPr>
            <w:tcW w:type="dxa" w:w="2600"/>
            <w:tcMar>
              <w:top w:type="dxa" w:w="80"/>
              <w:left w:type="dxa" w:w="110"/>
              <w:bottom w:type="dxa" w:w="80"/>
              <w:right w:type="dxa" w:w="110"/>
            </w:tcMar>
          </w:tcPr>
          <w:p>
            <w:r>
              <w:rPr>
                <w:sz w:val="18"/>
                <w:szCs w:val="18"/>
              </w:rPr>
              <w:t xml:space="preserve">Illinois Climate Bank and IFA</w:t>
            </w:r>
          </w:p>
        </w:tc>
        <w:tc>
          <w:tcPr>
            <w:tcW w:type="dxa" w:w="1500"/>
            <w:tcMar>
              <w:top w:type="dxa" w:w="80"/>
              <w:left w:type="dxa" w:w="110"/>
              <w:bottom w:type="dxa" w:w="80"/>
              <w:right w:type="dxa" w:w="110"/>
            </w:tcMar>
          </w:tcPr>
          <w:p>
            <w:r>
              <w:rPr>
                <w:sz w:val="18"/>
                <w:szCs w:val="18"/>
              </w:rPr>
              <w:t xml:space="preserve">Bonds, C-PACE, incentives</w:t>
            </w:r>
          </w:p>
        </w:tc>
        <w:tc>
          <w:tcPr>
            <w:tcW w:type="dxa" w:w="1700"/>
            <w:tcMar>
              <w:top w:type="dxa" w:w="80"/>
              <w:left w:type="dxa" w:w="110"/>
              <w:bottom w:type="dxa" w:w="80"/>
              <w:right w:type="dxa" w:w="110"/>
            </w:tcMar>
          </w:tcPr>
          <w:p>
            <w:r>
              <w:rPr>
                <w:sz w:val="18"/>
                <w:szCs w:val="18"/>
              </w:rPr>
              <w:t xml:space="preserve">Rolling</w:t>
            </w:r>
          </w:p>
        </w:tc>
        <w:tc>
          <w:tcPr>
            <w:tcW w:type="dxa" w:w="3560"/>
            <w:tcMar>
              <w:top w:type="dxa" w:w="80"/>
              <w:left w:type="dxa" w:w="110"/>
              <w:bottom w:type="dxa" w:w="80"/>
              <w:right w:type="dxa" w:w="110"/>
            </w:tcMar>
          </w:tcPr>
          <w:p>
            <w:r>
              <w:rPr>
                <w:sz w:val="18"/>
                <w:szCs w:val="18"/>
              </w:rPr>
              <w:t xml:space="preserve">OPEN. Lending expanded to further local government units from 9 Aug 2024</w:t>
            </w:r>
          </w:p>
        </w:tc>
      </w:tr>
      <w:tr>
        <w:trPr>
          <w:tblHeader w:val="false"/>
        </w:trPr>
        <w:tc>
          <w:tcPr>
            <w:tcW w:type="dxa" w:w="2600"/>
            <w:tcMar>
              <w:top w:type="dxa" w:w="80"/>
              <w:left w:type="dxa" w:w="110"/>
              <w:bottom w:type="dxa" w:w="80"/>
              <w:right w:type="dxa" w:w="110"/>
            </w:tcMar>
          </w:tcPr>
          <w:p>
            <w:r>
              <w:rPr>
                <w:sz w:val="18"/>
                <w:szCs w:val="18"/>
              </w:rPr>
              <w:t xml:space="preserve">Local Food Infrastructure Grant</w:t>
            </w:r>
          </w:p>
        </w:tc>
        <w:tc>
          <w:tcPr>
            <w:tcW w:type="dxa" w:w="1500"/>
            <w:tcMar>
              <w:top w:type="dxa" w:w="80"/>
              <w:left w:type="dxa" w:w="110"/>
              <w:bottom w:type="dxa" w:w="80"/>
              <w:right w:type="dxa" w:w="110"/>
            </w:tcMar>
          </w:tcPr>
          <w:p>
            <w:r>
              <w:rPr>
                <w:sz w:val="18"/>
                <w:szCs w:val="18"/>
              </w:rPr>
              <w:t xml:space="preserve">Grant</w:t>
            </w:r>
          </w:p>
        </w:tc>
        <w:tc>
          <w:tcPr>
            <w:tcW w:type="dxa" w:w="1700"/>
            <w:tcMar>
              <w:top w:type="dxa" w:w="80"/>
              <w:left w:type="dxa" w:w="110"/>
              <w:bottom w:type="dxa" w:w="80"/>
              <w:right w:type="dxa" w:w="110"/>
            </w:tcMar>
          </w:tcPr>
          <w:p>
            <w:r>
              <w:rPr>
                <w:sz w:val="18"/>
                <w:szCs w:val="18"/>
              </w:rPr>
              <w:t xml:space="preserve">Expected to open early January</w:t>
            </w:r>
          </w:p>
        </w:tc>
        <w:tc>
          <w:tcPr>
            <w:tcW w:type="dxa" w:w="3560"/>
            <w:tcMar>
              <w:top w:type="dxa" w:w="80"/>
              <w:left w:type="dxa" w:w="110"/>
              <w:bottom w:type="dxa" w:w="80"/>
              <w:right w:type="dxa" w:w="110"/>
            </w:tcMar>
          </w:tcPr>
          <w:p>
            <w:r>
              <w:rPr>
                <w:sz w:val="18"/>
                <w:szCs w:val="18"/>
              </w:rPr>
              <w:t xml:space="preserve">FY2026 round about 4,000,000 USD</w:t>
            </w:r>
          </w:p>
        </w:tc>
      </w:tr>
      <w:tr>
        <w:trPr>
          <w:tblHeader w:val="false"/>
        </w:trPr>
        <w:tc>
          <w:tcPr>
            <w:tcW w:type="dxa" w:w="2600"/>
            <w:tcMar>
              <w:top w:type="dxa" w:w="80"/>
              <w:left w:type="dxa" w:w="110"/>
              <w:bottom w:type="dxa" w:w="80"/>
              <w:right w:type="dxa" w:w="110"/>
            </w:tcMar>
          </w:tcPr>
          <w:p>
            <w:r>
              <w:rPr>
                <w:sz w:val="18"/>
                <w:szCs w:val="18"/>
              </w:rPr>
              <w:t xml:space="preserve">Climate Pollution Reduction Grant</w:t>
            </w:r>
          </w:p>
        </w:tc>
        <w:tc>
          <w:tcPr>
            <w:tcW w:type="dxa" w:w="1500"/>
            <w:tcMar>
              <w:top w:type="dxa" w:w="80"/>
              <w:left w:type="dxa" w:w="110"/>
              <w:bottom w:type="dxa" w:w="80"/>
              <w:right w:type="dxa" w:w="110"/>
            </w:tcMar>
          </w:tcPr>
          <w:p>
            <w:r>
              <w:rPr>
                <w:sz w:val="18"/>
                <w:szCs w:val="18"/>
              </w:rPr>
              <w:t xml:space="preserve">Federal grant to Illinois EPA</w:t>
            </w:r>
          </w:p>
        </w:tc>
        <w:tc>
          <w:tcPr>
            <w:tcW w:type="dxa" w:w="1700"/>
            <w:tcMar>
              <w:top w:type="dxa" w:w="80"/>
              <w:left w:type="dxa" w:w="110"/>
              <w:bottom w:type="dxa" w:w="80"/>
              <w:right w:type="dxa" w:w="110"/>
            </w:tcMar>
          </w:tcPr>
          <w:p>
            <w:r>
              <w:rPr>
                <w:sz w:val="18"/>
                <w:szCs w:val="18"/>
              </w:rPr>
              <w:t xml:space="preserve">Awarded 22 Jul 2024</w:t>
            </w:r>
          </w:p>
        </w:tc>
        <w:tc>
          <w:tcPr>
            <w:tcW w:type="dxa" w:w="3560"/>
            <w:tcMar>
              <w:top w:type="dxa" w:w="80"/>
              <w:left w:type="dxa" w:w="110"/>
              <w:bottom w:type="dxa" w:w="80"/>
              <w:right w:type="dxa" w:w="110"/>
            </w:tcMar>
          </w:tcPr>
          <w:p>
            <w:r>
              <w:rPr>
                <w:sz w:val="18"/>
                <w:szCs w:val="18"/>
              </w:rPr>
              <w:t xml:space="preserve">430,251,378 USD. Implementation planning meetings held summer 2025</w:t>
            </w:r>
          </w:p>
        </w:tc>
      </w:tr>
      <w:tr>
        <w:trPr>
          <w:tblHeader w:val="false"/>
        </w:trPr>
        <w:tc>
          <w:tcPr>
            <w:tcW w:type="dxa" w:w="2600"/>
            <w:tcMar>
              <w:top w:type="dxa" w:w="80"/>
              <w:left w:type="dxa" w:w="110"/>
              <w:bottom w:type="dxa" w:w="80"/>
              <w:right w:type="dxa" w:w="110"/>
            </w:tcMar>
          </w:tcPr>
          <w:p>
            <w:r>
              <w:rPr>
                <w:sz w:val="18"/>
                <w:szCs w:val="18"/>
              </w:rPr>
              <w:t xml:space="preserve">USDA REAP</w:t>
            </w:r>
          </w:p>
        </w:tc>
        <w:tc>
          <w:tcPr>
            <w:tcW w:type="dxa" w:w="1500"/>
            <w:tcMar>
              <w:top w:type="dxa" w:w="80"/>
              <w:left w:type="dxa" w:w="110"/>
              <w:bottom w:type="dxa" w:w="80"/>
              <w:right w:type="dxa" w:w="110"/>
            </w:tcMar>
          </w:tcPr>
          <w:p>
            <w:r>
              <w:rPr>
                <w:sz w:val="18"/>
                <w:szCs w:val="18"/>
              </w:rPr>
              <w:t xml:space="preserve">Grant and guaranteed loan</w:t>
            </w:r>
          </w:p>
        </w:tc>
        <w:tc>
          <w:tcPr>
            <w:tcW w:type="dxa" w:w="1700"/>
            <w:tcMar>
              <w:top w:type="dxa" w:w="80"/>
              <w:left w:type="dxa" w:w="110"/>
              <w:bottom w:type="dxa" w:w="80"/>
              <w:right w:type="dxa" w:w="110"/>
            </w:tcMar>
          </w:tcPr>
          <w:p>
            <w:r>
              <w:rPr>
                <w:sz w:val="18"/>
                <w:szCs w:val="18"/>
              </w:rPr>
              <w:t xml:space="preserve">Loans ongoing</w:t>
            </w:r>
          </w:p>
        </w:tc>
        <w:tc>
          <w:tcPr>
            <w:tcW w:type="dxa" w:w="3560"/>
            <w:tcMar>
              <w:top w:type="dxa" w:w="80"/>
              <w:left w:type="dxa" w:w="110"/>
              <w:bottom w:type="dxa" w:w="80"/>
              <w:right w:type="dxa" w:w="110"/>
            </w:tcMar>
          </w:tcPr>
          <w:p>
            <w:r>
              <w:rPr>
                <w:sz w:val="18"/>
                <w:szCs w:val="18"/>
              </w:rPr>
              <w:t xml:space="preserve">Grants paused 1 Jul to 30 Sep 2025. IRA money available to 30 Sep 2031</w:t>
            </w:r>
          </w:p>
        </w:tc>
      </w:tr>
      <w:tr>
        <w:trPr>
          <w:tblHeader w:val="false"/>
        </w:trPr>
        <w:tc>
          <w:tcPr>
            <w:tcW w:type="dxa" w:w="2600"/>
            <w:tcMar>
              <w:top w:type="dxa" w:w="80"/>
              <w:left w:type="dxa" w:w="110"/>
              <w:bottom w:type="dxa" w:w="80"/>
              <w:right w:type="dxa" w:w="110"/>
            </w:tcMar>
          </w:tcPr>
          <w:p>
            <w:r>
              <w:rPr>
                <w:sz w:val="18"/>
                <w:szCs w:val="18"/>
              </w:rPr>
              <w:t xml:space="preserve">Statewide Integrated Resource Plan</w:t>
            </w:r>
          </w:p>
        </w:tc>
        <w:tc>
          <w:tcPr>
            <w:tcW w:type="dxa" w:w="1500"/>
            <w:tcMar>
              <w:top w:type="dxa" w:w="80"/>
              <w:left w:type="dxa" w:w="110"/>
              <w:bottom w:type="dxa" w:w="80"/>
              <w:right w:type="dxa" w:w="110"/>
            </w:tcMar>
          </w:tcPr>
          <w:p>
            <w:r>
              <w:rPr>
                <w:sz w:val="18"/>
                <w:szCs w:val="18"/>
              </w:rPr>
              <w:t xml:space="preserve">Plan</w:t>
            </w:r>
          </w:p>
        </w:tc>
        <w:tc>
          <w:tcPr>
            <w:tcW w:type="dxa" w:w="1700"/>
            <w:tcMar>
              <w:top w:type="dxa" w:w="80"/>
              <w:left w:type="dxa" w:w="110"/>
              <w:bottom w:type="dxa" w:w="80"/>
              <w:right w:type="dxa" w:w="110"/>
            </w:tcMar>
          </w:tcPr>
          <w:p>
            <w:r>
              <w:rPr>
                <w:sz w:val="18"/>
                <w:szCs w:val="18"/>
              </w:rPr>
              <w:t xml:space="preserve">First IRP due no later than 15 Nov 2026</w:t>
            </w:r>
          </w:p>
        </w:tc>
        <w:tc>
          <w:tcPr>
            <w:tcW w:type="dxa" w:w="3560"/>
            <w:tcMar>
              <w:top w:type="dxa" w:w="80"/>
              <w:left w:type="dxa" w:w="110"/>
              <w:bottom w:type="dxa" w:w="80"/>
              <w:right w:type="dxa" w:w="110"/>
            </w:tcMar>
          </w:tcPr>
          <w:p>
            <w:r>
              <w:rPr>
                <w:sz w:val="18"/>
                <w:szCs w:val="18"/>
              </w:rPr>
              <w:t xml:space="preserve">Required by the Clean and Reliable Grid Affordability Act</w:t>
            </w:r>
          </w:p>
        </w:tc>
      </w:tr>
    </w:tbl>
    <w:p>
      <w:pPr>
        <w:spacing w:after="200" w:before="80"/>
      </w:pPr>
      <w:r>
        <w:rPr>
          <w:i/>
          <w:iCs/>
          <w:color w:val="666666"/>
          <w:sz w:val="17"/>
          <w:szCs w:val="17"/>
        </w:rPr>
        <w:t xml:space="preserve">Source: Programme and docket pages as cited by section, read July 2026.</w:t>
      </w:r>
    </w:p>
    <w:p>
      <w:r>
        <w:br w:type="page"/>
      </w:r>
    </w:p>
    <w:p>
      <w:pPr>
        <w:pStyle w:val="Heading1"/>
        <w:spacing w:after="160" w:before="380"/>
      </w:pPr>
      <w:r>
        <w:rPr>
          <w:b/>
          <w:bCs/>
          <w:color w:val="222222"/>
          <w:sz w:val="30"/>
          <w:szCs w:val="30"/>
        </w:rPr>
        <w:t xml:space="preserve">4. The regulatory frame</w:t>
      </w:r>
    </w:p>
    <w:p>
      <w:pPr>
        <w:pStyle w:val="Heading2"/>
        <w:spacing w:after="120" w:before="280"/>
      </w:pPr>
      <w:r>
        <w:rPr>
          <w:b/>
          <w:bCs/>
          <w:color w:val="B02020"/>
          <w:sz w:val="24"/>
          <w:szCs w:val="24"/>
        </w:rPr>
        <w:t xml:space="preserve">4.1 Large load deposits, Dockets 25-0677 and 25-0679 consolidated</w:t>
      </w:r>
    </w:p>
    <w:p>
      <w:pPr>
        <w:pStyle w:val="ListParagraph"/>
        <w:numPr>
          <w:ilvl w:val="0"/>
          <w:numId w:val="2"/>
        </w:numPr>
        <w:spacing w:after="90"/>
      </w:pPr>
      <w:r>
        <w:rPr>
          <w:sz w:val="21"/>
          <w:szCs w:val="21"/>
        </w:rPr>
        <w:t xml:space="preserve">ComEd filed tariff revisions to General Terms and Conditions and to Rider DE Distribution System Extensions on 23 June 2025.</w:t>
      </w:r>
    </w:p>
    <w:p>
      <w:pPr>
        <w:pStyle w:val="ListParagraph"/>
        <w:numPr>
          <w:ilvl w:val="0"/>
          <w:numId w:val="2"/>
        </w:numPr>
        <w:spacing w:after="90"/>
      </w:pPr>
      <w:r>
        <w:rPr>
          <w:sz w:val="21"/>
          <w:szCs w:val="21"/>
        </w:rPr>
        <w:t xml:space="preserve">The Commission suspended the filings on 17 July 2025 and consolidated the dockets.</w:t>
      </w:r>
    </w:p>
    <w:p>
      <w:pPr>
        <w:pStyle w:val="ListParagraph"/>
        <w:numPr>
          <w:ilvl w:val="0"/>
          <w:numId w:val="2"/>
        </w:numPr>
        <w:spacing w:after="90"/>
      </w:pPr>
      <w:r>
        <w:rPr>
          <w:sz w:val="21"/>
          <w:szCs w:val="21"/>
        </w:rPr>
        <w:t xml:space="preserve">Final order dated 19 March 2026.</w:t>
      </w:r>
    </w:p>
    <w:p>
      <w:pPr>
        <w:pStyle w:val="ListParagraph"/>
        <w:numPr>
          <w:ilvl w:val="0"/>
          <w:numId w:val="2"/>
        </w:numPr>
        <w:spacing w:after="90"/>
      </w:pPr>
      <w:r>
        <w:rPr>
          <w:sz w:val="21"/>
          <w:szCs w:val="21"/>
        </w:rPr>
        <w:t xml:space="preserve">It approved increased refundable security deposits for Large Demand Project Applicants or Customers, defined as service requests of 50 MW or more.</w:t>
      </w:r>
    </w:p>
    <w:p>
      <w:pPr>
        <w:pStyle w:val="ListParagraph"/>
        <w:numPr>
          <w:ilvl w:val="0"/>
          <w:numId w:val="2"/>
        </w:numPr>
        <w:spacing w:after="90"/>
      </w:pPr>
      <w:r>
        <w:rPr>
          <w:sz w:val="21"/>
          <w:szCs w:val="21"/>
        </w:rPr>
        <w:t xml:space="preserve">Deposits for 50 to 200 MW start at 1,000,000 USD and increase by 500,000 USD for each additional 100 MW above 200 MW.</w:t>
      </w:r>
    </w:p>
    <w:p>
      <w:pPr>
        <w:pStyle w:val="ListParagraph"/>
        <w:numPr>
          <w:ilvl w:val="0"/>
          <w:numId w:val="2"/>
        </w:numPr>
        <w:spacing w:after="90"/>
      </w:pPr>
      <w:r>
        <w:rPr>
          <w:sz w:val="21"/>
          <w:szCs w:val="21"/>
        </w:rPr>
        <w:t xml:space="preserve">Deposits do not apply to data centers already on the grid.</w:t>
      </w:r>
    </w:p>
    <w:p>
      <w:pPr>
        <w:pStyle w:val="ListParagraph"/>
        <w:numPr>
          <w:ilvl w:val="0"/>
          <w:numId w:val="2"/>
        </w:numPr>
        <w:spacing w:after="90"/>
      </w:pPr>
      <w:r>
        <w:rPr>
          <w:sz w:val="21"/>
          <w:szCs w:val="21"/>
        </w:rPr>
        <w:t xml:space="preserve">Docket 25-0678 appears in some party exhibits, including ELPC and JNGO testimony. The final order and press release cite 25-0677 and 25-0679 consolidated.</w:t>
      </w:r>
    </w:p>
    <w:p>
      <w:pPr>
        <w:spacing w:after="80" w:before="160"/>
      </w:pPr>
      <w:r>
        <w:rPr>
          <w:b/>
          <w:bCs/>
          <w:sz w:val="21"/>
          <w:szCs w:val="21"/>
        </w:rPr>
        <w:t xml:space="preserve">The follow on investigation</w:t>
      </w:r>
    </w:p>
    <w:p>
      <w:pPr>
        <w:spacing w:after="140"/>
      </w:pPr>
      <w:r>
        <w:rPr>
          <w:sz w:val="21"/>
          <w:szCs w:val="21"/>
        </w:rPr>
        <w:t xml:space="preserve">The Commission directed Staff to initiate a docketed investigation by 23 April 2026 into ratepayer protections and cost allocation for large loads, to be completed within eight months. ComEd must file an annual compliance report on 1 February covering new customer studies through calendar year 2026.</w:t>
      </w:r>
    </w:p>
    <w:p>
      <w:pPr>
        <w:spacing w:after="80" w:before="160"/>
      </w:pPr>
      <w:r>
        <w:rPr>
          <w:b/>
          <w:bCs/>
          <w:sz w:val="21"/>
          <w:szCs w:val="21"/>
        </w:rPr>
        <w:t xml:space="preserve">Load scale on the record</w:t>
      </w:r>
    </w:p>
    <w:p>
      <w:pPr>
        <w:spacing w:after="140"/>
      </w:pPr>
      <w:r>
        <w:rPr>
          <w:sz w:val="21"/>
          <w:szCs w:val="21"/>
        </w:rPr>
        <w:t xml:space="preserve">Per ComEd testimony cited in Illinois Attorney General comments of 21 November 2025, large load interconnection requests grew from 80 MW in 2019, to 652 MW in 2022, to 3,931 MW in 2024, to 8,272 MW in 2025. Per pv-magazine-usa of 23 March 2026, ComEd has received applications for 28 GW of maximum power demand from a pipeline of 75 prospective large customers, roughly 1.2 times the company all time peak demand of 24 GW.</w:t>
      </w:r>
    </w:p>
    <w:p>
      <w:pPr>
        <w:spacing w:after="80" w:before="160"/>
      </w:pPr>
      <w:r>
        <w:rPr>
          <w:b/>
          <w:bCs/>
          <w:sz w:val="21"/>
          <w:szCs w:val="21"/>
        </w:rPr>
        <w:t xml:space="preserve">Co-located load</w:t>
      </w:r>
    </w:p>
    <w:p>
      <w:pPr>
        <w:spacing w:after="140"/>
      </w:pPr>
      <w:r>
        <w:rPr>
          <w:sz w:val="21"/>
          <w:szCs w:val="21"/>
        </w:rPr>
        <w:t xml:space="preserve">Illinois Commerce Commission Dockets 22-0486 and 23-0055 addressed co-located load at nuclear stations, with ComEd and Constellation exhibits.</w:t>
      </w:r>
    </w:p>
    <w:p>
      <w:pPr>
        <w:spacing w:after="200" w:before="80"/>
      </w:pPr>
      <w:r>
        <w:rPr>
          <w:i/>
          <w:iCs/>
          <w:color w:val="666666"/>
          <w:sz w:val="17"/>
          <w:szCs w:val="17"/>
        </w:rPr>
        <w:t xml:space="preserve">Source: icc.illinois.gov docket filings and press release of 20 March 2026; Capitol News Illinois and NPR Illinois, 20 March 2026; pv-magazine-usa, 23 March 2026; stateimpactcenter.org.</w:t>
      </w:r>
    </w:p>
    <w:p>
      <w:pPr>
        <w:pStyle w:val="Heading2"/>
        <w:spacing w:after="120" w:before="280"/>
      </w:pPr>
      <w:r>
        <w:rPr>
          <w:b/>
          <w:bCs/>
          <w:color w:val="B02020"/>
          <w:sz w:val="24"/>
          <w:szCs w:val="24"/>
        </w:rPr>
        <w:t xml:space="preserve">4.2 The Clean and Reliable Grid Affordability Act</w:t>
      </w:r>
    </w:p>
    <w:p>
      <w:pPr>
        <w:spacing w:after="140"/>
      </w:pPr>
      <w:r>
        <w:rPr>
          <w:sz w:val="21"/>
          <w:szCs w:val="21"/>
        </w:rPr>
        <w:t xml:space="preserve">Senate Bill 25, Public Act 104-0458, passed 30 October 2025, effective 1 June 2026.</w:t>
      </w:r>
    </w:p>
    <w:p>
      <w:pPr>
        <w:pStyle w:val="ListParagraph"/>
        <w:numPr>
          <w:ilvl w:val="0"/>
          <w:numId w:val="2"/>
        </w:numPr>
        <w:spacing w:after="90"/>
      </w:pPr>
      <w:r>
        <w:rPr>
          <w:sz w:val="21"/>
          <w:szCs w:val="21"/>
        </w:rPr>
        <w:t xml:space="preserve">Battery storage and virtual power plants.</w:t>
      </w:r>
    </w:p>
    <w:p>
      <w:pPr>
        <w:pStyle w:val="ListParagraph"/>
        <w:numPr>
          <w:ilvl w:val="0"/>
          <w:numId w:val="2"/>
        </w:numPr>
        <w:spacing w:after="90"/>
      </w:pPr>
      <w:r>
        <w:rPr>
          <w:sz w:val="21"/>
          <w:szCs w:val="21"/>
        </w:rPr>
        <w:t xml:space="preserve">Lifts the ban on new large scale nuclear.</w:t>
      </w:r>
    </w:p>
    <w:p>
      <w:pPr>
        <w:pStyle w:val="ListParagraph"/>
        <w:numPr>
          <w:ilvl w:val="0"/>
          <w:numId w:val="2"/>
        </w:numPr>
        <w:spacing w:after="90"/>
      </w:pPr>
      <w:r>
        <w:rPr>
          <w:sz w:val="21"/>
          <w:szCs w:val="21"/>
        </w:rPr>
        <w:t xml:space="preserve">Expanded energy efficiency, with a 2 per cent annual savings goal for ComEd from 2027 and Ameren from 2029, and elimination of cumulative persistent annual savings goals.</w:t>
      </w:r>
    </w:p>
    <w:p>
      <w:pPr>
        <w:pStyle w:val="ListParagraph"/>
        <w:numPr>
          <w:ilvl w:val="0"/>
          <w:numId w:val="2"/>
        </w:numPr>
        <w:spacing w:after="90"/>
      </w:pPr>
      <w:r>
        <w:rPr>
          <w:sz w:val="21"/>
          <w:szCs w:val="21"/>
        </w:rPr>
        <w:t xml:space="preserve">A statewide Integrated Resource Plan. First plan due to the Commission no later than 15 November 2026, second by 30 September 2029, then every four years.</w:t>
      </w:r>
    </w:p>
    <w:p>
      <w:pPr>
        <w:pStyle w:val="ListParagraph"/>
        <w:numPr>
          <w:ilvl w:val="0"/>
          <w:numId w:val="2"/>
        </w:numPr>
        <w:spacing w:after="90"/>
      </w:pPr>
      <w:r>
        <w:rPr>
          <w:sz w:val="21"/>
          <w:szCs w:val="21"/>
        </w:rPr>
        <w:t xml:space="preserve">A regional transmission organisation and independent system operator study.</w:t>
      </w:r>
    </w:p>
    <w:p>
      <w:pPr>
        <w:pStyle w:val="ListParagraph"/>
        <w:numPr>
          <w:ilvl w:val="0"/>
          <w:numId w:val="2"/>
        </w:numPr>
        <w:spacing w:after="90"/>
      </w:pPr>
      <w:r>
        <w:rPr>
          <w:sz w:val="21"/>
          <w:szCs w:val="21"/>
        </w:rPr>
        <w:t xml:space="preserve">New utility transparency requirements on interconnection cost and timeline disclosures.</w:t>
      </w:r>
    </w:p>
    <w:p>
      <w:pPr>
        <w:pStyle w:val="ListParagraph"/>
        <w:numPr>
          <w:ilvl w:val="0"/>
          <w:numId w:val="2"/>
        </w:numPr>
        <w:spacing w:after="90"/>
      </w:pPr>
      <w:r>
        <w:rPr>
          <w:sz w:val="21"/>
          <w:szCs w:val="21"/>
        </w:rPr>
        <w:t xml:space="preserve">It does not contain the data center large load cost allocation provisions of the proposed POWER Act.</w:t>
      </w:r>
    </w:p>
    <w:p>
      <w:pPr>
        <w:spacing w:after="140"/>
      </w:pPr>
      <w:r>
        <w:rPr>
          <w:sz w:val="21"/>
          <w:szCs w:val="21"/>
        </w:rPr>
        <w:t xml:space="preserve">The POWER Act, SB4016 and HB5513 of 2026, addressing data center cost allocation, failed to advance in the spring 2026 session per NRDC.</w:t>
      </w:r>
    </w:p>
    <w:p>
      <w:pPr>
        <w:spacing w:after="200" w:before="80"/>
      </w:pPr>
      <w:r>
        <w:rPr>
          <w:i/>
          <w:iCs/>
          <w:color w:val="666666"/>
          <w:sz w:val="17"/>
          <w:szCs w:val="17"/>
        </w:rPr>
        <w:t xml:space="preserve">Source: Capitol News Illinois; mwalliance.org, 4 November 2025; NRDC.</w:t>
      </w:r>
    </w:p>
    <w:p>
      <w:pPr>
        <w:pStyle w:val="Heading2"/>
        <w:spacing w:after="120" w:before="280"/>
      </w:pPr>
      <w:r>
        <w:rPr>
          <w:b/>
          <w:bCs/>
          <w:color w:val="B02020"/>
          <w:sz w:val="24"/>
          <w:szCs w:val="24"/>
        </w:rPr>
        <w:t xml:space="preserve">4.3 The Climate and Equitable Jobs Act</w:t>
      </w:r>
    </w:p>
    <w:p>
      <w:pPr>
        <w:spacing w:after="140"/>
      </w:pPr>
      <w:r>
        <w:rPr>
          <w:sz w:val="21"/>
          <w:szCs w:val="21"/>
        </w:rPr>
        <w:t xml:space="preserve">Public Act 102-0662, signed 15 September 2021, also styled the Energy Transition Act.</w:t>
      </w:r>
    </w:p>
    <w:p>
      <w:pPr>
        <w:pStyle w:val="ListParagraph"/>
        <w:numPr>
          <w:ilvl w:val="0"/>
          <w:numId w:val="2"/>
        </w:numPr>
        <w:spacing w:after="90"/>
      </w:pPr>
      <w:r>
        <w:rPr>
          <w:sz w:val="21"/>
          <w:szCs w:val="21"/>
        </w:rPr>
        <w:t xml:space="preserve">Sets 100 per cent clean energy policy, carbon free power by 2045.</w:t>
      </w:r>
    </w:p>
    <w:p>
      <w:pPr>
        <w:pStyle w:val="ListParagraph"/>
        <w:numPr>
          <w:ilvl w:val="0"/>
          <w:numId w:val="2"/>
        </w:numPr>
        <w:spacing w:after="90"/>
      </w:pPr>
      <w:r>
        <w:rPr>
          <w:sz w:val="21"/>
          <w:szCs w:val="21"/>
        </w:rPr>
        <w:t xml:space="preserve">Designated the Illinois Finance Authority as the Illinois Climate Bank.</w:t>
      </w:r>
    </w:p>
    <w:p>
      <w:pPr>
        <w:pStyle w:val="ListParagraph"/>
        <w:numPr>
          <w:ilvl w:val="0"/>
          <w:numId w:val="2"/>
        </w:numPr>
        <w:spacing w:after="90"/>
      </w:pPr>
      <w:r>
        <w:rPr>
          <w:sz w:val="21"/>
          <w:szCs w:val="21"/>
        </w:rPr>
        <w:t xml:space="preserve">Amended Section 8-103B to allow utilities, for the first time, to fund and claim savings from building and industrial electrification measures.</w:t>
      </w:r>
    </w:p>
    <w:p>
      <w:pPr>
        <w:pStyle w:val="ListParagraph"/>
        <w:numPr>
          <w:ilvl w:val="0"/>
          <w:numId w:val="2"/>
        </w:numPr>
        <w:spacing w:after="90"/>
      </w:pPr>
      <w:r>
        <w:rPr>
          <w:sz w:val="21"/>
          <w:szCs w:val="21"/>
        </w:rPr>
        <w:t xml:space="preserve">Establishes Equity Investment Eligible Communities and Equity Eligible Persons, utility Equity Investment Eligible Community bonuses, and the Equitable Energy Future Grant providing seed and pre development funding for equity eligible contractors.</w:t>
      </w:r>
    </w:p>
    <w:p>
      <w:pPr>
        <w:pStyle w:val="ListParagraph"/>
        <w:numPr>
          <w:ilvl w:val="0"/>
          <w:numId w:val="2"/>
        </w:numPr>
        <w:spacing w:after="90"/>
      </w:pPr>
      <w:r>
        <w:rPr>
          <w:sz w:val="21"/>
          <w:szCs w:val="21"/>
        </w:rPr>
        <w:t xml:space="preserve">Thermal energy network authority runs from separate follow on legislation at Public Act 103-0580, Section 4-610 of the Public Utilities Act, rather than from CEJA itself.</w:t>
      </w:r>
    </w:p>
    <w:p>
      <w:pPr>
        <w:spacing w:after="200" w:before="80"/>
      </w:pPr>
      <w:r>
        <w:rPr>
          <w:i/>
          <w:iCs/>
          <w:color w:val="666666"/>
          <w:sz w:val="17"/>
          <w:szCs w:val="17"/>
        </w:rPr>
        <w:t xml:space="preserve">Source: epa.illinois.gov and dceo.illinois.gov CEJA pages; ICC Thermal Energy Network Report.</w:t>
      </w:r>
    </w:p>
    <w:p>
      <w:r>
        <w:br w:type="page"/>
      </w:r>
    </w:p>
    <w:p>
      <w:pPr>
        <w:pStyle w:val="Heading1"/>
        <w:spacing w:after="160" w:before="380"/>
      </w:pPr>
      <w:r>
        <w:rPr>
          <w:b/>
          <w:bCs/>
          <w:color w:val="222222"/>
          <w:sz w:val="30"/>
          <w:szCs w:val="30"/>
        </w:rPr>
        <w:t xml:space="preserve">5. The Data Center Investment Program</w:t>
      </w:r>
    </w:p>
    <w:p>
      <w:pPr>
        <w:spacing w:after="140"/>
      </w:pPr>
      <w:r>
        <w:rPr>
          <w:sz w:val="21"/>
          <w:szCs w:val="21"/>
        </w:rPr>
        <w:t xml:space="preserve">Administered by DCEO, with sales and use tax exemption certificates issued through the Illinois Department of Revenue. Established by Public Act 101-31, amended by Public Acts 101-604 and 102-427. Codified at 20 ILCS 605/605-1025 for annual reporting and 35 ILCS 5/229 for the construction employment credit.</w:t>
      </w:r>
    </w:p>
    <w:p>
      <w:pPr>
        <w:pStyle w:val="Heading2"/>
        <w:spacing w:after="120" w:before="280"/>
      </w:pPr>
      <w:r>
        <w:rPr>
          <w:b/>
          <w:bCs/>
          <w:color w:val="B02020"/>
          <w:sz w:val="24"/>
          <w:szCs w:val="24"/>
        </w:rPr>
        <w:t xml:space="preserve">5.1 Benefit</w:t>
      </w:r>
    </w:p>
    <w:p>
      <w:pPr>
        <w:spacing w:after="140"/>
      </w:pPr>
      <w:r>
        <w:rPr>
          <w:sz w:val="21"/>
          <w:szCs w:val="21"/>
        </w:rPr>
        <w:t xml:space="preserve">Exemption from the Retailers Occupation Tax Act, the Use Tax Act, the Service Use Tax Act, the Service Occupation Tax Act, all locally imposed retailers occupation taxes administered and collected by the Department of Revenue, and the Chicago non titled Use Tax. It applies to qualified tangible personal property, being electrical systems, climate control and monitoring systems, equipment, telecommunications infrastructure and building materials. Duration up to 20 years, issued in renewable five year increments.</w:t>
      </w:r>
    </w:p>
    <w:p>
      <w:pPr>
        <w:pStyle w:val="Heading2"/>
        <w:spacing w:after="120" w:before="280"/>
      </w:pPr>
      <w:r>
        <w:rPr>
          <w:b/>
          <w:bCs/>
          <w:color w:val="B02020"/>
          <w:sz w:val="24"/>
          <w:szCs w:val="24"/>
        </w:rPr>
        <w:t xml:space="preserve">5.2 Thresholds</w:t>
      </w:r>
    </w:p>
    <w:p>
      <w:pPr>
        <w:pStyle w:val="ListParagraph"/>
        <w:numPr>
          <w:ilvl w:val="0"/>
          <w:numId w:val="2"/>
        </w:numPr>
        <w:spacing w:after="90"/>
      </w:pPr>
      <w:r>
        <w:rPr>
          <w:sz w:val="21"/>
          <w:szCs w:val="21"/>
        </w:rPr>
        <w:t xml:space="preserve">At least 250,000,000 USD capital investment collectively between owner, operator and tenants over a 60 month period.</w:t>
      </w:r>
    </w:p>
    <w:p>
      <w:pPr>
        <w:pStyle w:val="ListParagraph"/>
        <w:numPr>
          <w:ilvl w:val="0"/>
          <w:numId w:val="2"/>
        </w:numPr>
        <w:spacing w:after="90"/>
      </w:pPr>
      <w:r>
        <w:rPr>
          <w:sz w:val="21"/>
          <w:szCs w:val="21"/>
        </w:rPr>
        <w:t xml:space="preserve">At least 20 new full time or full time equivalent jobs.</w:t>
      </w:r>
    </w:p>
    <w:p>
      <w:pPr>
        <w:pStyle w:val="ListParagraph"/>
        <w:numPr>
          <w:ilvl w:val="0"/>
          <w:numId w:val="2"/>
        </w:numPr>
        <w:spacing w:after="90"/>
      </w:pPr>
      <w:r>
        <w:rPr>
          <w:sz w:val="21"/>
          <w:szCs w:val="21"/>
        </w:rPr>
        <w:t xml:space="preserve">Wage test. The DCEO web page and the 2023 and 2024 reports state total compensation must be at least 120 per cent of the median wage in the county. The 2025 annual report states at least 120 per cent of the average wage. Both are DCEO sources.</w:t>
      </w:r>
    </w:p>
    <w:p>
      <w:pPr>
        <w:pStyle w:val="Heading2"/>
        <w:spacing w:after="120" w:before="280"/>
      </w:pPr>
      <w:r>
        <w:rPr>
          <w:b/>
          <w:bCs/>
          <w:color w:val="B02020"/>
          <w:sz w:val="24"/>
          <w:szCs w:val="24"/>
        </w:rPr>
        <w:t xml:space="preserve">5.3 The green building requirement</w:t>
      </w:r>
    </w:p>
    <w:p>
      <w:pPr>
        <w:spacing w:after="140"/>
      </w:pPr>
      <w:r>
        <w:rPr>
          <w:sz w:val="21"/>
          <w:szCs w:val="21"/>
        </w:rPr>
        <w:t xml:space="preserve">Within two years of being placed in service, the facility must demonstrate carbon neutrality, or attain one of eight named certifications.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4680"/>
        <w:gridCol w:w="4680"/>
      </w:tblGrid>
      <w:tr>
        <w:trPr>
          <w:tblHeader/>
        </w:trPr>
        <w:tc>
          <w:tcPr>
            <w:tcW w:type="dxa" w:w="4680"/>
            <w:shd w:fill="F2F2F2" w:color="auto" w:val="clear"/>
            <w:tcMar>
              <w:top w:type="dxa" w:w="80"/>
              <w:left w:type="dxa" w:w="110"/>
              <w:bottom w:type="dxa" w:w="80"/>
              <w:right w:type="dxa" w:w="110"/>
            </w:tcMar>
          </w:tcPr>
          <w:p>
            <w:r>
              <w:rPr>
                <w:b/>
                <w:bCs/>
                <w:sz w:val="18"/>
                <w:szCs w:val="18"/>
              </w:rPr>
              <w:t xml:space="preserve">Route</w:t>
            </w:r>
          </w:p>
        </w:tc>
        <w:tc>
          <w:tcPr>
            <w:tcW w:type="dxa" w:w="4680"/>
            <w:shd w:fill="F2F2F2" w:color="auto" w:val="clear"/>
            <w:tcMar>
              <w:top w:type="dxa" w:w="80"/>
              <w:left w:type="dxa" w:w="110"/>
              <w:bottom w:type="dxa" w:w="80"/>
              <w:right w:type="dxa" w:w="110"/>
            </w:tcMar>
          </w:tcPr>
          <w:p>
            <w:r>
              <w:rPr>
                <w:b/>
                <w:bCs/>
                <w:sz w:val="18"/>
                <w:szCs w:val="18"/>
              </w:rPr>
              <w:t xml:space="preserve">Named standard</w:t>
            </w:r>
          </w:p>
        </w:tc>
      </w:tr>
      <w:tr>
        <w:trPr>
          <w:tblHeader w:val="false"/>
        </w:trPr>
        <w:tc>
          <w:tcPr>
            <w:tcW w:type="dxa" w:w="4680"/>
            <w:tcMar>
              <w:top w:type="dxa" w:w="80"/>
              <w:left w:type="dxa" w:w="110"/>
              <w:bottom w:type="dxa" w:w="80"/>
              <w:right w:type="dxa" w:w="110"/>
            </w:tcMar>
          </w:tcPr>
          <w:p>
            <w:r>
              <w:rPr>
                <w:sz w:val="18"/>
                <w:szCs w:val="18"/>
              </w:rPr>
              <w:t xml:space="preserve">1</w:t>
            </w:r>
          </w:p>
        </w:tc>
        <w:tc>
          <w:tcPr>
            <w:tcW w:type="dxa" w:w="4680"/>
            <w:tcMar>
              <w:top w:type="dxa" w:w="80"/>
              <w:left w:type="dxa" w:w="110"/>
              <w:bottom w:type="dxa" w:w="80"/>
              <w:right w:type="dxa" w:w="110"/>
            </w:tcMar>
          </w:tcPr>
          <w:p>
            <w:r>
              <w:rPr>
                <w:sz w:val="18"/>
                <w:szCs w:val="18"/>
              </w:rPr>
              <w:t xml:space="preserve">BREEAM for New Construction, or BREEAM In-Use</w:t>
            </w:r>
          </w:p>
        </w:tc>
      </w:tr>
      <w:tr>
        <w:trPr>
          <w:tblHeader w:val="false"/>
        </w:trPr>
        <w:tc>
          <w:tcPr>
            <w:tcW w:type="dxa" w:w="4680"/>
            <w:tcMar>
              <w:top w:type="dxa" w:w="80"/>
              <w:left w:type="dxa" w:w="110"/>
              <w:bottom w:type="dxa" w:w="80"/>
              <w:right w:type="dxa" w:w="110"/>
            </w:tcMar>
          </w:tcPr>
          <w:p>
            <w:r>
              <w:rPr>
                <w:sz w:val="18"/>
                <w:szCs w:val="18"/>
              </w:rPr>
              <w:t xml:space="preserve">2</w:t>
            </w:r>
          </w:p>
        </w:tc>
        <w:tc>
          <w:tcPr>
            <w:tcW w:type="dxa" w:w="4680"/>
            <w:tcMar>
              <w:top w:type="dxa" w:w="80"/>
              <w:left w:type="dxa" w:w="110"/>
              <w:bottom w:type="dxa" w:w="80"/>
              <w:right w:type="dxa" w:w="110"/>
            </w:tcMar>
          </w:tcPr>
          <w:p>
            <w:r>
              <w:rPr>
                <w:sz w:val="18"/>
                <w:szCs w:val="18"/>
              </w:rPr>
              <w:t xml:space="preserve">ENERGY STAR</w:t>
            </w:r>
          </w:p>
        </w:tc>
      </w:tr>
      <w:tr>
        <w:trPr>
          <w:tblHeader w:val="false"/>
        </w:trPr>
        <w:tc>
          <w:tcPr>
            <w:tcW w:type="dxa" w:w="4680"/>
            <w:tcMar>
              <w:top w:type="dxa" w:w="80"/>
              <w:left w:type="dxa" w:w="110"/>
              <w:bottom w:type="dxa" w:w="80"/>
              <w:right w:type="dxa" w:w="110"/>
            </w:tcMar>
          </w:tcPr>
          <w:p>
            <w:r>
              <w:rPr>
                <w:sz w:val="18"/>
                <w:szCs w:val="18"/>
              </w:rPr>
              <w:t xml:space="preserve">3</w:t>
            </w:r>
          </w:p>
        </w:tc>
        <w:tc>
          <w:tcPr>
            <w:tcW w:type="dxa" w:w="4680"/>
            <w:tcMar>
              <w:top w:type="dxa" w:w="80"/>
              <w:left w:type="dxa" w:w="110"/>
              <w:bottom w:type="dxa" w:w="80"/>
              <w:right w:type="dxa" w:w="110"/>
            </w:tcMar>
          </w:tcPr>
          <w:p>
            <w:r>
              <w:rPr>
                <w:sz w:val="18"/>
                <w:szCs w:val="18"/>
              </w:rPr>
              <w:t xml:space="preserve">Envision</w:t>
            </w:r>
          </w:p>
        </w:tc>
      </w:tr>
      <w:tr>
        <w:trPr>
          <w:tblHeader w:val="false"/>
        </w:trPr>
        <w:tc>
          <w:tcPr>
            <w:tcW w:type="dxa" w:w="4680"/>
            <w:tcMar>
              <w:top w:type="dxa" w:w="80"/>
              <w:left w:type="dxa" w:w="110"/>
              <w:bottom w:type="dxa" w:w="80"/>
              <w:right w:type="dxa" w:w="110"/>
            </w:tcMar>
          </w:tcPr>
          <w:p>
            <w:r>
              <w:rPr>
                <w:sz w:val="18"/>
                <w:szCs w:val="18"/>
              </w:rPr>
              <w:t xml:space="preserve">4</w:t>
            </w:r>
          </w:p>
        </w:tc>
        <w:tc>
          <w:tcPr>
            <w:tcW w:type="dxa" w:w="4680"/>
            <w:tcMar>
              <w:top w:type="dxa" w:w="80"/>
              <w:left w:type="dxa" w:w="110"/>
              <w:bottom w:type="dxa" w:w="80"/>
              <w:right w:type="dxa" w:w="110"/>
            </w:tcMar>
          </w:tcPr>
          <w:p>
            <w:r>
              <w:rPr>
                <w:sz w:val="18"/>
                <w:szCs w:val="18"/>
              </w:rPr>
              <w:t xml:space="preserve">ISO 50001, energy management</w:t>
            </w:r>
          </w:p>
        </w:tc>
      </w:tr>
      <w:tr>
        <w:trPr>
          <w:tblHeader w:val="false"/>
        </w:trPr>
        <w:tc>
          <w:tcPr>
            <w:tcW w:type="dxa" w:w="4680"/>
            <w:tcMar>
              <w:top w:type="dxa" w:w="80"/>
              <w:left w:type="dxa" w:w="110"/>
              <w:bottom w:type="dxa" w:w="80"/>
              <w:right w:type="dxa" w:w="110"/>
            </w:tcMar>
          </w:tcPr>
          <w:p>
            <w:r>
              <w:rPr>
                <w:sz w:val="18"/>
                <w:szCs w:val="18"/>
              </w:rPr>
              <w:t xml:space="preserve">5</w:t>
            </w:r>
          </w:p>
        </w:tc>
        <w:tc>
          <w:tcPr>
            <w:tcW w:type="dxa" w:w="4680"/>
            <w:tcMar>
              <w:top w:type="dxa" w:w="80"/>
              <w:left w:type="dxa" w:w="110"/>
              <w:bottom w:type="dxa" w:w="80"/>
              <w:right w:type="dxa" w:w="110"/>
            </w:tcMar>
          </w:tcPr>
          <w:p>
            <w:r>
              <w:rPr>
                <w:sz w:val="18"/>
                <w:szCs w:val="18"/>
              </w:rPr>
              <w:t xml:space="preserve">LEED for Building Design and Construction, or LEED for Operations and Maintenance</w:t>
            </w:r>
          </w:p>
        </w:tc>
      </w:tr>
      <w:tr>
        <w:trPr>
          <w:tblHeader w:val="false"/>
        </w:trPr>
        <w:tc>
          <w:tcPr>
            <w:tcW w:type="dxa" w:w="4680"/>
            <w:tcMar>
              <w:top w:type="dxa" w:w="80"/>
              <w:left w:type="dxa" w:w="110"/>
              <w:bottom w:type="dxa" w:w="80"/>
              <w:right w:type="dxa" w:w="110"/>
            </w:tcMar>
          </w:tcPr>
          <w:p>
            <w:r>
              <w:rPr>
                <w:sz w:val="18"/>
                <w:szCs w:val="18"/>
              </w:rPr>
              <w:t xml:space="preserve">6</w:t>
            </w:r>
          </w:p>
        </w:tc>
        <w:tc>
          <w:tcPr>
            <w:tcW w:type="dxa" w:w="4680"/>
            <w:tcMar>
              <w:top w:type="dxa" w:w="80"/>
              <w:left w:type="dxa" w:w="110"/>
              <w:bottom w:type="dxa" w:w="80"/>
              <w:right w:type="dxa" w:w="110"/>
            </w:tcMar>
          </w:tcPr>
          <w:p>
            <w:r>
              <w:rPr>
                <w:sz w:val="18"/>
                <w:szCs w:val="18"/>
              </w:rPr>
              <w:t xml:space="preserve">Green Globes for New Construction, or Green Globes for Existing Buildings</w:t>
            </w:r>
          </w:p>
        </w:tc>
      </w:tr>
      <w:tr>
        <w:trPr>
          <w:tblHeader w:val="false"/>
        </w:trPr>
        <w:tc>
          <w:tcPr>
            <w:tcW w:type="dxa" w:w="4680"/>
            <w:tcMar>
              <w:top w:type="dxa" w:w="80"/>
              <w:left w:type="dxa" w:w="110"/>
              <w:bottom w:type="dxa" w:w="80"/>
              <w:right w:type="dxa" w:w="110"/>
            </w:tcMar>
          </w:tcPr>
          <w:p>
            <w:r>
              <w:rPr>
                <w:sz w:val="18"/>
                <w:szCs w:val="18"/>
              </w:rPr>
              <w:t xml:space="preserve">7</w:t>
            </w:r>
          </w:p>
        </w:tc>
        <w:tc>
          <w:tcPr>
            <w:tcW w:type="dxa" w:w="4680"/>
            <w:tcMar>
              <w:top w:type="dxa" w:w="80"/>
              <w:left w:type="dxa" w:w="110"/>
              <w:bottom w:type="dxa" w:w="80"/>
              <w:right w:type="dxa" w:w="110"/>
            </w:tcMar>
          </w:tcPr>
          <w:p>
            <w:r>
              <w:rPr>
                <w:sz w:val="18"/>
                <w:szCs w:val="18"/>
              </w:rPr>
              <w:t xml:space="preserve">UL 3223</w:t>
            </w:r>
          </w:p>
        </w:tc>
      </w:tr>
      <w:tr>
        <w:trPr>
          <w:tblHeader w:val="false"/>
        </w:trPr>
        <w:tc>
          <w:tcPr>
            <w:tcW w:type="dxa" w:w="4680"/>
            <w:tcMar>
              <w:top w:type="dxa" w:w="80"/>
              <w:left w:type="dxa" w:w="110"/>
              <w:bottom w:type="dxa" w:w="80"/>
              <w:right w:type="dxa" w:w="110"/>
            </w:tcMar>
          </w:tcPr>
          <w:p>
            <w:r>
              <w:rPr>
                <w:sz w:val="18"/>
                <w:szCs w:val="18"/>
              </w:rPr>
              <w:t xml:space="preserve">8</w:t>
            </w:r>
          </w:p>
        </w:tc>
        <w:tc>
          <w:tcPr>
            <w:tcW w:type="dxa" w:w="4680"/>
            <w:tcMar>
              <w:top w:type="dxa" w:w="80"/>
              <w:left w:type="dxa" w:w="110"/>
              <w:bottom w:type="dxa" w:w="80"/>
              <w:right w:type="dxa" w:w="110"/>
            </w:tcMar>
          </w:tcPr>
          <w:p>
            <w:r>
              <w:rPr>
                <w:sz w:val="18"/>
                <w:szCs w:val="18"/>
              </w:rPr>
              <w:t xml:space="preserve">An equivalent program approved by the Department</w:t>
            </w:r>
          </w:p>
        </w:tc>
      </w:tr>
      <w:tr>
        <w:trPr>
          <w:tblHeader w:val="false"/>
        </w:trPr>
        <w:tc>
          <w:tcPr>
            <w:tcW w:type="dxa" w:w="4680"/>
            <w:tcMar>
              <w:top w:type="dxa" w:w="80"/>
              <w:left w:type="dxa" w:w="110"/>
              <w:bottom w:type="dxa" w:w="80"/>
              <w:right w:type="dxa" w:w="110"/>
            </w:tcMar>
          </w:tcPr>
          <w:p>
            <w:r>
              <w:rPr>
                <w:sz w:val="18"/>
                <w:szCs w:val="18"/>
              </w:rPr>
              <w:t xml:space="preserve">Alternative</w:t>
            </w:r>
          </w:p>
        </w:tc>
        <w:tc>
          <w:tcPr>
            <w:tcW w:type="dxa" w:w="4680"/>
            <w:tcMar>
              <w:top w:type="dxa" w:w="80"/>
              <w:left w:type="dxa" w:w="110"/>
              <w:bottom w:type="dxa" w:w="80"/>
              <w:right w:type="dxa" w:w="110"/>
            </w:tcMar>
          </w:tcPr>
          <w:p>
            <w:r>
              <w:rPr>
                <w:sz w:val="18"/>
                <w:szCs w:val="18"/>
              </w:rPr>
              <w:t xml:space="preserve">Demonstrated carbon neutrality, in place of any of the above</w:t>
            </w:r>
          </w:p>
        </w:tc>
      </w:tr>
    </w:tbl>
    <w:p>
      <w:pPr>
        <w:spacing w:after="140"/>
      </w:pPr>
      <w:r>
        <w:rPr>
          <w:sz w:val="21"/>
          <w:szCs w:val="21"/>
        </w:rPr>
        <w:t xml:space="preserve">ISO 50001 and UL 3223 are the two routes in that list that address operating energy management and data center sustainability directly rather than through building fabric.</w:t>
      </w:r>
    </w:p>
    <w:p>
      <w:pPr>
        <w:pStyle w:val="Heading2"/>
        <w:spacing w:after="120" w:before="280"/>
      </w:pPr>
      <w:r>
        <w:rPr>
          <w:b/>
          <w:bCs/>
          <w:color w:val="B02020"/>
          <w:sz w:val="24"/>
          <w:szCs w:val="24"/>
        </w:rPr>
        <w:t xml:space="preserve">5.4 Tenants, record and mechanism</w:t>
      </w:r>
    </w:p>
    <w:p>
      <w:pPr>
        <w:pStyle w:val="ListParagraph"/>
        <w:numPr>
          <w:ilvl w:val="0"/>
          <w:numId w:val="2"/>
        </w:numPr>
        <w:spacing w:after="90"/>
      </w:pPr>
      <w:r>
        <w:rPr>
          <w:sz w:val="21"/>
          <w:szCs w:val="21"/>
        </w:rPr>
        <w:t xml:space="preserve">Tenants count toward the 250,000,000 USD and 20 job thresholds collectively, and tenant certificates are issued. As at 31 December 2025, 34 operator certificates and 91 tenant certificates had been issued.</w:t>
      </w:r>
    </w:p>
    <w:p>
      <w:pPr>
        <w:pStyle w:val="ListParagraph"/>
        <w:numPr>
          <w:ilvl w:val="0"/>
          <w:numId w:val="2"/>
        </w:numPr>
        <w:spacing w:after="90"/>
      </w:pPr>
      <w:r>
        <w:rPr>
          <w:sz w:val="21"/>
          <w:szCs w:val="21"/>
        </w:rPr>
        <w:t xml:space="preserve">35 applications received from 28 June 2019 to 31 December 2025. 34 approved, 1 withdrawn or denied, none pending. Seven memoranda of understanding signed in 2025 and five amendments approved.</w:t>
      </w:r>
    </w:p>
    <w:p>
      <w:pPr>
        <w:pStyle w:val="ListParagraph"/>
        <w:numPr>
          <w:ilvl w:val="0"/>
          <w:numId w:val="2"/>
        </w:numPr>
        <w:spacing w:after="90"/>
      </w:pPr>
      <w:r>
        <w:rPr>
          <w:sz w:val="21"/>
          <w:szCs w:val="21"/>
        </w:rPr>
        <w:t xml:space="preserve">Cumulative committed investment 10,665,815,092 USD. Estimated value of tax benefits 666,613,443 USD. 731 new jobs. 16 projects in underserved areas.</w:t>
      </w:r>
    </w:p>
    <w:p>
      <w:pPr>
        <w:pStyle w:val="ListParagraph"/>
        <w:numPr>
          <w:ilvl w:val="0"/>
          <w:numId w:val="2"/>
        </w:numPr>
        <w:spacing w:after="90"/>
      </w:pPr>
      <w:r>
        <w:rPr>
          <w:sz w:val="21"/>
          <w:szCs w:val="21"/>
        </w:rPr>
        <w:t xml:space="preserve">Named certified facilities include Digital Realty at Franklin Park and Elk Grove Village, STACK at Elk Grove Village, NTT at Itasca, T5 at Elk Grove Village, Northlake and Grayslake, CoreSite in Chicago, Microsoft at Elk Grove Village, Northlake and Hoffman Estates, QTS in Chicago, Goldframe at DeKalb at 800,000,000 USD and 50 jobs, Aligned at Northlake and Elk Grove Village, CyrusOne and C1 at Aurora, Wood Dale and Yorkville, SDC CHI at Elk Grove Village, Metro Edge in Chicago, Elk Grove Village Property LLC at 517,200,000 USD, Serverfarm in Chicago, EdgeConneX at Elk Grove Village, Chirisa Volo at Volo, Equinix at Elk Grove Village, Iron Mountain at Des Plaines, CenterSquare at Elk Grove Village and Lisle, Oracle America at Elk Grove Village at 555,000,000 USD, and HydraVault in Chicago at 270,000,000 USD.</w:t>
      </w:r>
    </w:p>
    <w:p>
      <w:pPr>
        <w:pStyle w:val="ListParagraph"/>
        <w:numPr>
          <w:ilvl w:val="0"/>
          <w:numId w:val="2"/>
        </w:numPr>
        <w:spacing w:after="90"/>
      </w:pPr>
      <w:r>
        <w:rPr>
          <w:sz w:val="21"/>
          <w:szCs w:val="21"/>
        </w:rPr>
        <w:t xml:space="preserve">Mechanism. Application to DCEO, approval by the Business Development Committee and the Director, then a memorandum of understanding containing the capital investment determination, job counts, timeline, repayment obligations and duration. DCEO issues certificates. An agreed upon procedures report from an independent accountant is due 90 days after the earlier of placed in service or the end of the 60 month period. Green building proof is due within two years.</w:t>
      </w:r>
    </w:p>
    <w:p>
      <w:pPr>
        <w:pStyle w:val="ListParagraph"/>
        <w:numPr>
          <w:ilvl w:val="0"/>
          <w:numId w:val="2"/>
        </w:numPr>
        <w:spacing w:after="90"/>
      </w:pPr>
      <w:r>
        <w:rPr>
          <w:sz w:val="21"/>
          <w:szCs w:val="21"/>
        </w:rPr>
        <w:t xml:space="preserve">Contact CEO.Datacenters@Illinois.gov.</w:t>
      </w:r>
    </w:p>
    <w:p>
      <w:pPr>
        <w:spacing w:after="80" w:before="160"/>
      </w:pPr>
      <w:r>
        <w:rPr>
          <w:b/>
          <w:bCs/>
          <w:sz w:val="21"/>
          <w:szCs w:val="21"/>
        </w:rPr>
        <w:t xml:space="preserve">Electricity tax</w:t>
      </w:r>
    </w:p>
    <w:p>
      <w:pPr>
        <w:spacing w:after="140"/>
      </w:pPr>
      <w:r>
        <w:rPr>
          <w:sz w:val="21"/>
          <w:szCs w:val="21"/>
        </w:rPr>
        <w:t xml:space="preserve">The programme operates as a sales and use tax exemption vehicle, with the 2025 report also describing exemptions on use tax, service use tax and service occupation tax. The separate Illinois Electricity Excise Tax is not identified as waived by the programme in the DCEO materials.</w:t>
      </w:r>
    </w:p>
    <w:p>
      <w:pPr>
        <w:spacing w:after="200" w:before="80"/>
      </w:pPr>
      <w:r>
        <w:rPr>
          <w:i/>
          <w:iCs/>
          <w:color w:val="666666"/>
          <w:sz w:val="17"/>
          <w:szCs w:val="17"/>
        </w:rPr>
        <w:t xml:space="preserve">Source: dceo.illinois.gov data centers page, copyright 2026; DCEO 2025 Data Centers Annual Report covering inception to 31 December 2025; 2023 and 2024 annual reports.</w:t>
      </w:r>
    </w:p>
    <w:p>
      <w:r>
        <w:br w:type="page"/>
      </w:r>
    </w:p>
    <w:p>
      <w:pPr>
        <w:pStyle w:val="Heading1"/>
        <w:spacing w:after="160" w:before="380"/>
      </w:pPr>
      <w:r>
        <w:rPr>
          <w:b/>
          <w:bCs/>
          <w:color w:val="222222"/>
          <w:sz w:val="30"/>
          <w:szCs w:val="30"/>
        </w:rPr>
        <w:t xml:space="preserve">6. Utility energy efficiency</w:t>
      </w:r>
    </w:p>
    <w:p>
      <w:pPr>
        <w:spacing w:after="140"/>
      </w:pPr>
      <w:r>
        <w:rPr>
          <w:sz w:val="21"/>
          <w:szCs w:val="21"/>
        </w:rPr>
        <w:t xml:space="preserve">Filed under Section 8-103B of the Public Utilities Act for electric and Section 8-104 for gas, coordinated through the Illinois Stakeholder Advisory Group.</w:t>
      </w:r>
    </w:p>
    <w:p>
      <w:pPr>
        <w:spacing w:after="80" w:before="160"/>
      </w:pPr>
      <w:r>
        <w:rPr>
          <w:b/>
          <w:bCs/>
          <w:sz w:val="21"/>
          <w:szCs w:val="21"/>
        </w:rPr>
        <w:t xml:space="preserve">Plan period</w:t>
      </w:r>
    </w:p>
    <w:p>
      <w:pPr>
        <w:spacing w:after="140"/>
      </w:pPr>
      <w:r>
        <w:rPr>
          <w:sz w:val="21"/>
          <w:szCs w:val="21"/>
        </w:rPr>
        <w:t xml:space="preserve">New plans run 1 January 2026 to 31 December 2029, with ComEd filing Plan 7. The Clean and Reliable Grid Affordability Act, effective 1 June 2026, requires electric investor owned utilities to file updated three year plans on 1 June 2026 running 1 January 2027 to 31 December 2029, with a 2 per cent annual savings goal for ComEd from 2027 and Ameren from 2029, and elimination of cumulative persistent annual savings goals. A four year cycle then returns, with 2030 to 2033 plans due 1 March 2029.</w:t>
      </w:r>
    </w:p>
    <w:p>
      <w:pPr>
        <w:spacing w:after="80" w:before="160"/>
      </w:pPr>
      <w:r>
        <w:rPr>
          <w:b/>
          <w:bCs/>
          <w:sz w:val="21"/>
          <w:szCs w:val="21"/>
        </w:rPr>
        <w:t xml:space="preserve">ComEd commercial and industrial structure</w:t>
      </w:r>
    </w:p>
    <w:p>
      <w:pPr>
        <w:pStyle w:val="ListParagraph"/>
        <w:numPr>
          <w:ilvl w:val="0"/>
          <w:numId w:val="2"/>
        </w:numPr>
        <w:spacing w:after="90"/>
      </w:pPr>
      <w:r>
        <w:rPr>
          <w:sz w:val="21"/>
          <w:szCs w:val="21"/>
        </w:rPr>
        <w:t xml:space="preserve">Standard and prescriptive incentives, plus custom incentives, with a free facility assessment.</w:t>
      </w:r>
    </w:p>
    <w:p>
      <w:pPr>
        <w:pStyle w:val="ListParagraph"/>
        <w:numPr>
          <w:ilvl w:val="0"/>
          <w:numId w:val="2"/>
        </w:numPr>
        <w:spacing w:after="90"/>
      </w:pPr>
      <w:r>
        <w:rPr>
          <w:sz w:val="21"/>
          <w:szCs w:val="21"/>
        </w:rPr>
        <w:t xml:space="preserve">Custom rate figures conflict. 0.18 USD per kWh saved per fluidairedynamics.com, against 0.07 to 0.12 USD per first year kWh per illinoiscommercialenergy.com, a commercial vendor. Compressed air is cited at about 60 to 100 USD per horsepower.</w:t>
      </w:r>
    </w:p>
    <w:p>
      <w:pPr>
        <w:pStyle w:val="ListParagraph"/>
        <w:numPr>
          <w:ilvl w:val="0"/>
          <w:numId w:val="2"/>
        </w:numPr>
        <w:spacing w:after="90"/>
      </w:pPr>
      <w:r>
        <w:rPr>
          <w:sz w:val="21"/>
          <w:szCs w:val="21"/>
        </w:rPr>
        <w:t xml:space="preserve">Bonus adders. Distressed and Select Communities at 20 to 30 per cent, K-12 at 20 per cent, large projects at 20 per cent, Made in Illinois at 10 per cent, springtime accelerators at 20 per cent. Made in Illinois requires at least 50 per cent manufactured or assembled in Illinois. Some 2025 bonus deadlines were 30 June 2025 at 30 per cent and 31 October 2025 at 20 per cent.</w:t>
      </w:r>
    </w:p>
    <w:p>
      <w:pPr>
        <w:spacing w:after="80" w:before="160"/>
      </w:pPr>
      <w:r>
        <w:rPr>
          <w:b/>
          <w:bCs/>
          <w:sz w:val="21"/>
          <w:szCs w:val="21"/>
        </w:rPr>
        <w:t xml:space="preserve">Gas and Ameren</w:t>
      </w:r>
    </w:p>
    <w:p>
      <w:pPr>
        <w:pStyle w:val="ListParagraph"/>
        <w:numPr>
          <w:ilvl w:val="0"/>
          <w:numId w:val="2"/>
        </w:numPr>
        <w:spacing w:after="90"/>
      </w:pPr>
      <w:r>
        <w:rPr>
          <w:sz w:val="21"/>
          <w:szCs w:val="21"/>
        </w:rPr>
        <w:t xml:space="preserve">Nicor Gas filed its 2026 to 2029 plan under Section 8-104 at Illinois Commerce Commission Docket P2025-0209. It is Nicor’s fifth efficiency plan and its third under the Future Energy Jobs Act, Public Act 99-0906.</w:t>
      </w:r>
    </w:p>
    <w:p>
      <w:pPr>
        <w:pStyle w:val="ListParagraph"/>
        <w:numPr>
          <w:ilvl w:val="0"/>
          <w:numId w:val="2"/>
        </w:numPr>
        <w:spacing w:after="90"/>
      </w:pPr>
      <w:r>
        <w:rPr>
          <w:sz w:val="21"/>
          <w:szCs w:val="21"/>
        </w:rPr>
        <w:t xml:space="preserve">Peoples Gas, North Shore Gas and Ameren Illinois file under Section 8-104 for gas, with Ameren filing a combined electric and gas 2026 to 2029 plan.</w:t>
      </w:r>
    </w:p>
    <w:p>
      <w:pPr>
        <w:pStyle w:val="ListParagraph"/>
        <w:numPr>
          <w:ilvl w:val="0"/>
          <w:numId w:val="2"/>
        </w:numPr>
        <w:spacing w:after="90"/>
      </w:pPr>
      <w:r>
        <w:rPr>
          <w:sz w:val="21"/>
          <w:szCs w:val="21"/>
        </w:rPr>
        <w:t xml:space="preserve">Amendment 5 of the Clean and Reliable Grid Affordability Act allows a voluntary gas efficiency programme increase for Nicor, Peoples and North Shore, with modified plans permitted by 1 June 2026. Ameren gas efficiency is unchanged.</w:t>
      </w:r>
    </w:p>
    <w:p>
      <w:pPr>
        <w:spacing w:after="80" w:before="160"/>
      </w:pPr>
      <w:r>
        <w:rPr>
          <w:b/>
          <w:bCs/>
          <w:sz w:val="21"/>
          <w:szCs w:val="21"/>
        </w:rPr>
        <w:t xml:space="preserve">Measure qualification</w:t>
      </w:r>
    </w:p>
    <w:p>
      <w:pPr>
        <w:spacing w:after="140"/>
      </w:pPr>
      <w:r>
        <w:rPr>
          <w:sz w:val="21"/>
          <w:szCs w:val="21"/>
        </w:rPr>
        <w:t xml:space="preserve">Heat recovery, liquid cooling and thermal storage generally fall under custom and calculated incentive pathways rather than the prescriptive menu. The 2026 to 2029 plans permit electrification and industrial end use measures. Line item eligibility is governed by the Illinois Technical Reference Manual and each utility approved plan, and was not separately confirmed in the sources gathered.</w:t>
      </w:r>
    </w:p>
    <w:p>
      <w:pPr>
        <w:spacing w:after="200" w:before="80"/>
      </w:pPr>
      <w:r>
        <w:rPr>
          <w:i/>
          <w:iCs/>
          <w:color w:val="666666"/>
          <w:sz w:val="17"/>
          <w:szCs w:val="17"/>
        </w:rPr>
        <w:t xml:space="preserve">Source: ilsag.info plan documents; icc.illinois.gov Docket P2025-0209; mwalliance.org, 4 November 2025; vendor sources as named.</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7. Financing instruments</w:t>
      </w:r>
    </w:p>
    <w:p>
      <w:pPr>
        <w:pStyle w:val="Heading2"/>
        <w:spacing w:after="120" w:before="280"/>
      </w:pPr>
      <w:r>
        <w:rPr>
          <w:b/>
          <w:bCs/>
          <w:color w:val="B02020"/>
          <w:sz w:val="24"/>
          <w:szCs w:val="24"/>
        </w:rPr>
        <w:t xml:space="preserve">7.1 C-PACE</w:t>
      </w:r>
    </w:p>
    <w:p>
      <w:pPr>
        <w:spacing w:after="140"/>
      </w:pPr>
      <w:r>
        <w:rPr>
          <w:sz w:val="21"/>
          <w:szCs w:val="21"/>
        </w:rPr>
        <w:t xml:space="preserve">Enabled by the Property Assessed Clean Energy Act, introduced in Illinois in 2019, with a comprehensive technical rewrite signed in July 2019 enabling the Illinois Finance Authority statewide programme.</w:t>
      </w:r>
    </w:p>
    <w:p>
      <w:pPr>
        <w:spacing w:after="80" w:before="160"/>
      </w:pPr>
      <w:r>
        <w:rPr>
          <w:b/>
          <w:bCs/>
          <w:sz w:val="21"/>
          <w:szCs w:val="21"/>
        </w:rPr>
        <w:t xml:space="preserve">Administrators</w:t>
      </w:r>
    </w:p>
    <w:p>
      <w:pPr>
        <w:pStyle w:val="ListParagraph"/>
        <w:numPr>
          <w:ilvl w:val="0"/>
          <w:numId w:val="2"/>
        </w:numPr>
        <w:spacing w:after="90"/>
      </w:pPr>
      <w:r>
        <w:rPr>
          <w:sz w:val="21"/>
          <w:szCs w:val="21"/>
        </w:rPr>
        <w:t xml:space="preserve">Illinois Finance Authority PACE Program, administered by the C-PACE Open Market Initiative, a 501(c)(3) acting as the PACE Area Administrator.</w:t>
      </w:r>
    </w:p>
    <w:p>
      <w:pPr>
        <w:pStyle w:val="ListParagraph"/>
        <w:numPr>
          <w:ilvl w:val="0"/>
          <w:numId w:val="2"/>
        </w:numPr>
        <w:spacing w:after="90"/>
      </w:pPr>
      <w:r>
        <w:rPr>
          <w:sz w:val="21"/>
          <w:szCs w:val="21"/>
        </w:rPr>
        <w:t xml:space="preserve">Illinois Energy Conservation Authority NFP administers DuPage, Kane, Lake, Cook, Will and other counties.</w:t>
      </w:r>
    </w:p>
    <w:p>
      <w:pPr>
        <w:pStyle w:val="ListParagraph"/>
        <w:numPr>
          <w:ilvl w:val="0"/>
          <w:numId w:val="2"/>
        </w:numPr>
        <w:spacing w:after="90"/>
      </w:pPr>
      <w:r>
        <w:rPr>
          <w:sz w:val="21"/>
          <w:szCs w:val="21"/>
        </w:rPr>
        <w:t xml:space="preserve">The City of Chicago programme was won by Counterpointe and Loop Capital, with a first transaction in November 2019.</w:t>
      </w:r>
    </w:p>
    <w:p>
      <w:pPr>
        <w:spacing w:after="80" w:before="160"/>
      </w:pPr>
      <w:r>
        <w:rPr>
          <w:b/>
          <w:bCs/>
          <w:sz w:val="21"/>
          <w:szCs w:val="21"/>
        </w:rPr>
        <w:t xml:space="preserve">Cook County</w:t>
      </w:r>
    </w:p>
    <w:p>
      <w:pPr>
        <w:spacing w:after="140"/>
      </w:pPr>
      <w:r>
        <w:rPr>
          <w:sz w:val="21"/>
          <w:szCs w:val="21"/>
        </w:rPr>
        <w:t xml:space="preserve">Cook County enacted C-PACE and its programme is administered by the Illinois Energy Conservation Authority. Transactions closed include 633 South LaSalle Street at 26,475,000 USD provided by Petros PACE Finance, the largest Chicago C-PACE transaction to date, and 1310 South Ashland Avenue.</w:t>
      </w:r>
    </w:p>
    <w:p>
      <w:pPr>
        <w:spacing w:after="80" w:before="160"/>
      </w:pPr>
      <w:r>
        <w:rPr>
          <w:b/>
          <w:bCs/>
          <w:sz w:val="21"/>
          <w:szCs w:val="21"/>
        </w:rPr>
        <w:t xml:space="preserve">Terms</w:t>
      </w:r>
    </w:p>
    <w:p>
      <w:pPr>
        <w:pStyle w:val="ListParagraph"/>
        <w:numPr>
          <w:ilvl w:val="0"/>
          <w:numId w:val="2"/>
        </w:numPr>
        <w:spacing w:after="90"/>
      </w:pPr>
      <w:r>
        <w:rPr>
          <w:sz w:val="21"/>
          <w:szCs w:val="21"/>
        </w:rPr>
        <w:t xml:space="preserve">Up to 25 per cent of property value per the Illinois Finance Authority framing, or up to 100 per cent of improvement cost per the Illinois Energy Conservation Authority framing.</w:t>
      </w:r>
    </w:p>
    <w:p>
      <w:pPr>
        <w:pStyle w:val="ListParagraph"/>
        <w:numPr>
          <w:ilvl w:val="0"/>
          <w:numId w:val="2"/>
        </w:numPr>
        <w:spacing w:after="90"/>
      </w:pPr>
      <w:r>
        <w:rPr>
          <w:sz w:val="21"/>
          <w:szCs w:val="21"/>
        </w:rPr>
        <w:t xml:space="preserve">Chicago loans 10,000 to 100,000,000 USD, fixed at 5.5 to 7.5 per cent, terms up to 30 years per Honigman. Cook County launch materials cite terms up to 20 years.</w:t>
      </w:r>
    </w:p>
    <w:p>
      <w:pPr>
        <w:pStyle w:val="ListParagraph"/>
        <w:numPr>
          <w:ilvl w:val="0"/>
          <w:numId w:val="2"/>
        </w:numPr>
        <w:spacing w:after="90"/>
      </w:pPr>
      <w:r>
        <w:rPr>
          <w:sz w:val="21"/>
          <w:szCs w:val="21"/>
        </w:rPr>
        <w:t xml:space="preserve">Repaid through a special assessment lien on the property tax bill.</w:t>
      </w:r>
    </w:p>
    <w:p>
      <w:pPr>
        <w:spacing w:after="80" w:before="160"/>
      </w:pPr>
      <w:r>
        <w:rPr>
          <w:b/>
          <w:bCs/>
          <w:sz w:val="21"/>
          <w:szCs w:val="21"/>
        </w:rPr>
        <w:t xml:space="preserve">Eligible measures</w:t>
      </w:r>
    </w:p>
    <w:p>
      <w:pPr>
        <w:spacing w:after="140"/>
      </w:pPr>
      <w:r>
        <w:rPr>
          <w:sz w:val="21"/>
          <w:szCs w:val="21"/>
        </w:rPr>
        <w:t xml:space="preserve">Energy efficiency, renewable energy, water conservation, electric vehicle charging and resiliency, including HVAC, building controls, lighting, roofing, insulation, windows and water conservation. Heat recovery qualifies as an energy efficiency measure.</w:t>
      </w:r>
    </w:p>
    <w:p>
      <w:pPr>
        <w:spacing w:after="80" w:before="160"/>
      </w:pPr>
      <w:r>
        <w:rPr>
          <w:b/>
          <w:bCs/>
          <w:sz w:val="21"/>
          <w:szCs w:val="21"/>
        </w:rPr>
        <w:t xml:space="preserve">Coverage</w:t>
      </w:r>
    </w:p>
    <w:p>
      <w:pPr>
        <w:spacing w:after="140"/>
      </w:pPr>
      <w:r>
        <w:rPr>
          <w:sz w:val="21"/>
          <w:szCs w:val="21"/>
        </w:rPr>
        <w:t xml:space="preserve">The Illinois Finance Authority reports four Illinois counties and 15 municipalities participating in its programme. Honigman reported in May 2021 that seven Illinois counties including Cook had enacted C-PACE authority.</w:t>
      </w:r>
    </w:p>
    <w:p>
      <w:pPr>
        <w:spacing w:after="200" w:before="80"/>
      </w:pPr>
      <w:r>
        <w:rPr>
          <w:i/>
          <w:iCs/>
          <w:color w:val="666666"/>
          <w:sz w:val="17"/>
          <w:szCs w:val="17"/>
        </w:rPr>
        <w:t xml:space="preserve">Source: il-fa.com; Illinois Energy Conservation Authority; Honigman, May 2021; Petros PACE Finance.</w:t>
      </w:r>
    </w:p>
    <w:p>
      <w:pPr>
        <w:pStyle w:val="Heading2"/>
        <w:spacing w:after="120" w:before="280"/>
      </w:pPr>
      <w:r>
        <w:rPr>
          <w:b/>
          <w:bCs/>
          <w:color w:val="B02020"/>
          <w:sz w:val="24"/>
          <w:szCs w:val="24"/>
        </w:rPr>
        <w:t xml:space="preserve">7.2 Illinois Finance Authority and the Illinois Climate Bank</w:t>
      </w:r>
    </w:p>
    <w:p>
      <w:pPr>
        <w:spacing w:after="140"/>
      </w:pPr>
      <w:r>
        <w:rPr>
          <w:sz w:val="21"/>
          <w:szCs w:val="21"/>
        </w:rPr>
        <w:t xml:space="preserve">The Illinois Finance Authority was created in 2004 and designated the Illinois Climate Bank by the Climate and Equitable Jobs Act in 2021. It operates without direct state taxpayer appropriations.</w:t>
      </w:r>
    </w:p>
    <w:p>
      <w:pPr>
        <w:spacing w:after="80" w:before="160"/>
      </w:pPr>
      <w:r>
        <w:rPr>
          <w:b/>
          <w:bCs/>
          <w:sz w:val="21"/>
          <w:szCs w:val="21"/>
        </w:rPr>
        <w:t xml:space="preserve">Products</w:t>
      </w:r>
    </w:p>
    <w:p>
      <w:pPr>
        <w:spacing w:after="140"/>
      </w:pPr>
      <w:r>
        <w:rPr>
          <w:sz w:val="21"/>
          <w:szCs w:val="21"/>
        </w:rPr>
        <w:t xml:space="preserve">Tax exempt conduit private activity bonds for 501(c)(3) and other conduit borrowers. Beginning Farmer bonds. C-PACE bonds and notes. State Revolving Fund bond financing on behalf of Illinois EPA for drinking water, wastewater and sanitation. Climate Bank clean energy financing and incentives. State Small Business Credit Initiative supported financing focused on green businesses, accessed through enrolled financial institutions rather than by direct borrower application.</w:t>
      </w:r>
    </w:p>
    <w:p>
      <w:pPr>
        <w:spacing w:after="80" w:before="160"/>
      </w:pPr>
      <w:r>
        <w:rPr>
          <w:b/>
          <w:bCs/>
          <w:sz w:val="21"/>
          <w:szCs w:val="21"/>
        </w:rPr>
        <w:t xml:space="preserve">Eligible borrowers</w:t>
      </w:r>
    </w:p>
    <w:p>
      <w:pPr>
        <w:spacing w:after="140"/>
      </w:pPr>
      <w:r>
        <w:rPr>
          <w:sz w:val="21"/>
          <w:szCs w:val="21"/>
        </w:rPr>
        <w:t xml:space="preserve">Businesses, local governments, nonprofits, utilities, and disadvantaged businesses and equity eligible contractors. From 9 August 2024 lending expanded to park districts, school districts, fire protection districts, townships and other local government units.</w:t>
      </w:r>
    </w:p>
    <w:p>
      <w:pPr>
        <w:spacing w:after="80" w:before="160"/>
      </w:pPr>
      <w:r>
        <w:rPr>
          <w:b/>
          <w:bCs/>
          <w:sz w:val="21"/>
          <w:szCs w:val="21"/>
        </w:rPr>
        <w:t xml:space="preserve">Federal capital</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4680"/>
        <w:gridCol w:w="4680"/>
      </w:tblGrid>
      <w:tr>
        <w:trPr>
          <w:tblHeader/>
        </w:trPr>
        <w:tc>
          <w:tcPr>
            <w:tcW w:type="dxa" w:w="4680"/>
            <w:shd w:fill="F2F2F2" w:color="auto" w:val="clear"/>
            <w:tcMar>
              <w:top w:type="dxa" w:w="80"/>
              <w:left w:type="dxa" w:w="110"/>
              <w:bottom w:type="dxa" w:w="80"/>
              <w:right w:type="dxa" w:w="110"/>
            </w:tcMar>
          </w:tcPr>
          <w:p>
            <w:r>
              <w:rPr>
                <w:b/>
                <w:bCs/>
                <w:sz w:val="18"/>
                <w:szCs w:val="18"/>
              </w:rPr>
              <w:t xml:space="preserve">Source</w:t>
            </w:r>
          </w:p>
        </w:tc>
        <w:tc>
          <w:tcPr>
            <w:tcW w:type="dxa" w:w="4680"/>
            <w:shd w:fill="F2F2F2" w:color="auto" w:val="clear"/>
            <w:tcMar>
              <w:top w:type="dxa" w:w="80"/>
              <w:left w:type="dxa" w:w="110"/>
              <w:bottom w:type="dxa" w:w="80"/>
              <w:right w:type="dxa" w:w="110"/>
            </w:tcMar>
          </w:tcPr>
          <w:p>
            <w:r>
              <w:rPr>
                <w:b/>
                <w:bCs/>
                <w:sz w:val="18"/>
                <w:szCs w:val="18"/>
              </w:rPr>
              <w:t xml:space="preserve">Amount</w:t>
            </w:r>
          </w:p>
        </w:tc>
      </w:tr>
      <w:tr>
        <w:trPr>
          <w:tblHeader w:val="false"/>
        </w:trPr>
        <w:tc>
          <w:tcPr>
            <w:tcW w:type="dxa" w:w="4680"/>
            <w:tcMar>
              <w:top w:type="dxa" w:w="80"/>
              <w:left w:type="dxa" w:w="110"/>
              <w:bottom w:type="dxa" w:w="80"/>
              <w:right w:type="dxa" w:w="110"/>
            </w:tcMar>
          </w:tcPr>
          <w:p>
            <w:r>
              <w:rPr>
                <w:sz w:val="18"/>
                <w:szCs w:val="18"/>
              </w:rPr>
              <w:t xml:space="preserve">US EPA National Clean Investment Fund, as subrecipient of the Coalition for Green Capital 5 billion USD Greenhouse Gas Reduction Fund award</w:t>
            </w:r>
          </w:p>
        </w:tc>
        <w:tc>
          <w:tcPr>
            <w:tcW w:type="dxa" w:w="4680"/>
            <w:tcMar>
              <w:top w:type="dxa" w:w="80"/>
              <w:left w:type="dxa" w:w="110"/>
              <w:bottom w:type="dxa" w:w="80"/>
              <w:right w:type="dxa" w:w="110"/>
            </w:tcMar>
          </w:tcPr>
          <w:p>
            <w:r>
              <w:rPr>
                <w:sz w:val="18"/>
                <w:szCs w:val="18"/>
              </w:rPr>
              <w:t xml:space="preserve">Over 100,000,000 USD</w:t>
            </w:r>
          </w:p>
        </w:tc>
      </w:tr>
      <w:tr>
        <w:trPr>
          <w:tblHeader w:val="false"/>
        </w:trPr>
        <w:tc>
          <w:tcPr>
            <w:tcW w:type="dxa" w:w="4680"/>
            <w:tcMar>
              <w:top w:type="dxa" w:w="80"/>
              <w:left w:type="dxa" w:w="110"/>
              <w:bottom w:type="dxa" w:w="80"/>
              <w:right w:type="dxa" w:w="110"/>
            </w:tcMar>
          </w:tcPr>
          <w:p>
            <w:r>
              <w:rPr>
                <w:sz w:val="18"/>
                <w:szCs w:val="18"/>
              </w:rPr>
              <w:t xml:space="preserve">US Department of Energy Grid Resilience Grants</w:t>
            </w:r>
          </w:p>
        </w:tc>
        <w:tc>
          <w:tcPr>
            <w:tcW w:type="dxa" w:w="4680"/>
            <w:tcMar>
              <w:top w:type="dxa" w:w="80"/>
              <w:left w:type="dxa" w:w="110"/>
              <w:bottom w:type="dxa" w:w="80"/>
              <w:right w:type="dxa" w:w="110"/>
            </w:tcMar>
          </w:tcPr>
          <w:p>
            <w:r>
              <w:rPr>
                <w:sz w:val="18"/>
                <w:szCs w:val="18"/>
              </w:rPr>
              <w:t xml:space="preserve">40,000,000 USD</w:t>
            </w:r>
          </w:p>
        </w:tc>
      </w:tr>
      <w:tr>
        <w:trPr>
          <w:tblHeader w:val="false"/>
        </w:trPr>
        <w:tc>
          <w:tcPr>
            <w:tcW w:type="dxa" w:w="4680"/>
            <w:tcMar>
              <w:top w:type="dxa" w:w="80"/>
              <w:left w:type="dxa" w:w="110"/>
              <w:bottom w:type="dxa" w:w="80"/>
              <w:right w:type="dxa" w:w="110"/>
            </w:tcMar>
          </w:tcPr>
          <w:p>
            <w:r>
              <w:rPr>
                <w:sz w:val="18"/>
                <w:szCs w:val="18"/>
              </w:rPr>
              <w:t xml:space="preserve">US Department of Transportation Charging and Fueling Infrastructure Grant</w:t>
            </w:r>
          </w:p>
        </w:tc>
        <w:tc>
          <w:tcPr>
            <w:tcW w:type="dxa" w:w="4680"/>
            <w:tcMar>
              <w:top w:type="dxa" w:w="80"/>
              <w:left w:type="dxa" w:w="110"/>
              <w:bottom w:type="dxa" w:w="80"/>
              <w:right w:type="dxa" w:w="110"/>
            </w:tcMar>
          </w:tcPr>
          <w:p>
            <w:r>
              <w:rPr>
                <w:sz w:val="18"/>
                <w:szCs w:val="18"/>
              </w:rPr>
              <w:t xml:space="preserve">15,000,000 USD</w:t>
            </w:r>
          </w:p>
        </w:tc>
      </w:tr>
      <w:tr>
        <w:trPr>
          <w:tblHeader w:val="false"/>
        </w:trPr>
        <w:tc>
          <w:tcPr>
            <w:tcW w:type="dxa" w:w="4680"/>
            <w:tcMar>
              <w:top w:type="dxa" w:w="80"/>
              <w:left w:type="dxa" w:w="110"/>
              <w:bottom w:type="dxa" w:w="80"/>
              <w:right w:type="dxa" w:w="110"/>
            </w:tcMar>
          </w:tcPr>
          <w:p>
            <w:r>
              <w:rPr>
                <w:sz w:val="18"/>
                <w:szCs w:val="18"/>
              </w:rPr>
              <w:t xml:space="preserve">US Department of Energy Energy Efficiency Revolving Loan Fund</w:t>
            </w:r>
          </w:p>
        </w:tc>
        <w:tc>
          <w:tcPr>
            <w:tcW w:type="dxa" w:w="4680"/>
            <w:tcMar>
              <w:top w:type="dxa" w:w="80"/>
              <w:left w:type="dxa" w:w="110"/>
              <w:bottom w:type="dxa" w:w="80"/>
              <w:right w:type="dxa" w:w="110"/>
            </w:tcMar>
          </w:tcPr>
          <w:p>
            <w:r>
              <w:rPr>
                <w:sz w:val="18"/>
                <w:szCs w:val="18"/>
              </w:rPr>
              <w:t xml:space="preserve">14,000,000 USD</w:t>
            </w:r>
          </w:p>
        </w:tc>
      </w:tr>
      <w:tr>
        <w:trPr>
          <w:tblHeader w:val="false"/>
        </w:trPr>
        <w:tc>
          <w:tcPr>
            <w:tcW w:type="dxa" w:w="4680"/>
            <w:tcMar>
              <w:top w:type="dxa" w:w="80"/>
              <w:left w:type="dxa" w:w="110"/>
              <w:bottom w:type="dxa" w:w="80"/>
              <w:right w:type="dxa" w:w="110"/>
            </w:tcMar>
          </w:tcPr>
          <w:p>
            <w:r>
              <w:rPr>
                <w:sz w:val="18"/>
                <w:szCs w:val="18"/>
              </w:rPr>
              <w:t xml:space="preserve">Solar for All competition, per il-fa.com</w:t>
            </w:r>
          </w:p>
        </w:tc>
        <w:tc>
          <w:tcPr>
            <w:tcW w:type="dxa" w:w="4680"/>
            <w:tcMar>
              <w:top w:type="dxa" w:w="80"/>
              <w:left w:type="dxa" w:w="110"/>
              <w:bottom w:type="dxa" w:w="80"/>
              <w:right w:type="dxa" w:w="110"/>
            </w:tcMar>
          </w:tcPr>
          <w:p>
            <w:r>
              <w:rPr>
                <w:sz w:val="18"/>
                <w:szCs w:val="18"/>
              </w:rPr>
              <w:t xml:space="preserve">156,000,000 USD</w:t>
            </w:r>
          </w:p>
        </w:tc>
      </w:tr>
    </w:tbl>
    <w:p>
      <w:pPr>
        <w:spacing w:after="140"/>
      </w:pPr>
      <w:r>
        <w:rPr>
          <w:sz w:val="21"/>
          <w:szCs w:val="21"/>
        </w:rPr>
        <w:t xml:space="preserve">buildinghub.energy summarises the total as nearly 400 million USD secured from Bipartisan Infrastructure Law and Inflation Reduction Act programmes. The itemised components exceed that figure when Solar for All is included.</w:t>
      </w:r>
    </w:p>
    <w:p>
      <w:pPr>
        <w:spacing w:after="200" w:before="80"/>
      </w:pPr>
      <w:r>
        <w:rPr>
          <w:i/>
          <w:iCs/>
          <w:color w:val="666666"/>
          <w:sz w:val="17"/>
          <w:szCs w:val="17"/>
        </w:rPr>
        <w:t xml:space="preserve">Source: il-fa.com; illinoisclimatebank.com about us page; buildinghub.energy.</w:t>
      </w:r>
    </w:p>
    <w:p>
      <w:pPr>
        <w:pStyle w:val="Heading2"/>
        <w:spacing w:after="120" w:before="280"/>
      </w:pPr>
      <w:r>
        <w:rPr>
          <w:b/>
          <w:bCs/>
          <w:color w:val="B02020"/>
          <w:sz w:val="24"/>
          <w:szCs w:val="24"/>
        </w:rPr>
        <w:t xml:space="preserve">7.3 Illinois EPA grants and loans</w:t>
      </w:r>
    </w:p>
    <w:p>
      <w:pPr>
        <w:pStyle w:val="ListParagraph"/>
        <w:numPr>
          <w:ilvl w:val="0"/>
          <w:numId w:val="2"/>
        </w:numPr>
        <w:spacing w:after="90"/>
      </w:pPr>
      <w:r>
        <w:rPr>
          <w:sz w:val="21"/>
          <w:szCs w:val="21"/>
        </w:rPr>
        <w:t xml:space="preserve">State Revolving Fund. Water Pollution Control Loan Program for wastewater and stormwater, authorised at 415 ILCS 5/19.3, and the Public Water Supply Loan Program for drinking water.</w:t>
      </w:r>
    </w:p>
    <w:p>
      <w:pPr>
        <w:pStyle w:val="ListParagraph"/>
        <w:numPr>
          <w:ilvl w:val="0"/>
          <w:numId w:val="2"/>
        </w:numPr>
        <w:spacing w:after="90"/>
      </w:pPr>
      <w:r>
        <w:rPr>
          <w:sz w:val="21"/>
          <w:szCs w:val="21"/>
        </w:rPr>
        <w:t xml:space="preserve">Energy Efficiency Revolving Loan Fund. Flexible financing for energy efficiency and clean energy projects in Illinois.</w:t>
      </w:r>
    </w:p>
    <w:p>
      <w:pPr>
        <w:pStyle w:val="ListParagraph"/>
        <w:numPr>
          <w:ilvl w:val="0"/>
          <w:numId w:val="2"/>
        </w:numPr>
        <w:spacing w:after="90"/>
      </w:pPr>
      <w:r>
        <w:rPr>
          <w:sz w:val="21"/>
          <w:szCs w:val="21"/>
        </w:rPr>
        <w:t xml:space="preserve">Energy Efficiency Trust Fund Grant Program. Awards until funds are expended.</w:t>
      </w:r>
    </w:p>
    <w:p>
      <w:pPr>
        <w:pStyle w:val="ListParagraph"/>
        <w:numPr>
          <w:ilvl w:val="0"/>
          <w:numId w:val="2"/>
        </w:numPr>
        <w:spacing w:after="90"/>
      </w:pPr>
      <w:r>
        <w:rPr>
          <w:sz w:val="21"/>
          <w:szCs w:val="21"/>
        </w:rPr>
        <w:t xml:space="preserve">Lead Service Line Replacement loans under 35 Illinois Administrative Code 663.</w:t>
      </w:r>
    </w:p>
    <w:p>
      <w:pPr>
        <w:pStyle w:val="ListParagraph"/>
        <w:numPr>
          <w:ilvl w:val="0"/>
          <w:numId w:val="2"/>
        </w:numPr>
        <w:spacing w:after="90"/>
      </w:pPr>
      <w:r>
        <w:rPr>
          <w:sz w:val="21"/>
          <w:szCs w:val="21"/>
        </w:rPr>
        <w:t xml:space="preserve">Driving a Cleaner Illinois for diesel.</w:t>
      </w:r>
    </w:p>
    <w:p>
      <w:pPr>
        <w:spacing w:after="80" w:before="160"/>
      </w:pPr>
      <w:r>
        <w:rPr>
          <w:b/>
          <w:bCs/>
          <w:sz w:val="21"/>
          <w:szCs w:val="21"/>
        </w:rPr>
        <w:t xml:space="preserve">Green Project Reserve</w:t>
      </w:r>
    </w:p>
    <w:p>
      <w:pPr>
        <w:spacing w:after="140"/>
      </w:pPr>
      <w:r>
        <w:rPr>
          <w:sz w:val="21"/>
          <w:szCs w:val="21"/>
        </w:rPr>
        <w:t xml:space="preserve">A State Revolving Fund set aside for green infrastructure, water and energy efficiency, and environmental innovation. Qualifying components may receive principal forgiveness. The funding nomination form is due 31 March each year and the cycle runs on the state fiscal year from 1 July to 30 June. Loans are typically repaid over 20 years and are available to eligible public or private applicants.</w:t>
      </w:r>
    </w:p>
    <w:p>
      <w:pPr>
        <w:spacing w:after="200" w:before="80"/>
      </w:pPr>
      <w:r>
        <w:rPr>
          <w:i/>
          <w:iCs/>
          <w:color w:val="666666"/>
          <w:sz w:val="17"/>
          <w:szCs w:val="17"/>
        </w:rPr>
        <w:t xml:space="preserve">Source: epa.illinois.gov grants and loans and State Revolving Fund pages; delta-institute.org.</w:t>
      </w:r>
    </w:p>
    <w:p>
      <w:r>
        <w:br w:type="page"/>
      </w:r>
    </w:p>
    <w:p>
      <w:pPr>
        <w:pStyle w:val="Heading1"/>
        <w:spacing w:after="160" w:before="380"/>
      </w:pPr>
      <w:r>
        <w:rPr>
          <w:b/>
          <w:bCs/>
          <w:color w:val="222222"/>
          <w:sz w:val="30"/>
          <w:szCs w:val="30"/>
        </w:rPr>
        <w:t xml:space="preserve">8. Tax and site incentives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400"/>
        <w:gridCol w:w="6960"/>
      </w:tblGrid>
      <w:tr>
        <w:trPr>
          <w:tblHeader/>
        </w:trPr>
        <w:tc>
          <w:tcPr>
            <w:tcW w:type="dxa" w:w="2400"/>
            <w:shd w:fill="F2F2F2" w:color="auto" w:val="clear"/>
            <w:tcMar>
              <w:top w:type="dxa" w:w="80"/>
              <w:left w:type="dxa" w:w="110"/>
              <w:bottom w:type="dxa" w:w="80"/>
              <w:right w:type="dxa" w:w="110"/>
            </w:tcMar>
          </w:tcPr>
          <w:p>
            <w:r>
              <w:rPr>
                <w:b/>
                <w:bCs/>
                <w:sz w:val="18"/>
                <w:szCs w:val="18"/>
              </w:rPr>
              <w:t xml:space="preserve">Instrument</w:t>
            </w:r>
          </w:p>
        </w:tc>
        <w:tc>
          <w:tcPr>
            <w:tcW w:type="dxa" w:w="6960"/>
            <w:shd w:fill="F2F2F2" w:color="auto" w:val="clear"/>
            <w:tcMar>
              <w:top w:type="dxa" w:w="80"/>
              <w:left w:type="dxa" w:w="110"/>
              <w:bottom w:type="dxa" w:w="80"/>
              <w:right w:type="dxa" w:w="110"/>
            </w:tcMar>
          </w:tcPr>
          <w:p>
            <w:r>
              <w:rPr>
                <w:b/>
                <w:bCs/>
                <w:sz w:val="18"/>
                <w:szCs w:val="18"/>
              </w:rPr>
              <w:t xml:space="preserve">Position</w:t>
            </w:r>
          </w:p>
        </w:tc>
      </w:tr>
      <w:tr>
        <w:trPr>
          <w:tblHeader w:val="false"/>
        </w:trPr>
        <w:tc>
          <w:tcPr>
            <w:tcW w:type="dxa" w:w="2400"/>
            <w:tcMar>
              <w:top w:type="dxa" w:w="80"/>
              <w:left w:type="dxa" w:w="110"/>
              <w:bottom w:type="dxa" w:w="80"/>
              <w:right w:type="dxa" w:w="110"/>
            </w:tcMar>
          </w:tcPr>
          <w:p>
            <w:r>
              <w:rPr>
                <w:sz w:val="18"/>
                <w:szCs w:val="18"/>
              </w:rPr>
              <w:t xml:space="preserve">Enterprise Zones</w:t>
            </w:r>
          </w:p>
        </w:tc>
        <w:tc>
          <w:tcPr>
            <w:tcW w:type="dxa" w:w="6960"/>
            <w:tcMar>
              <w:top w:type="dxa" w:w="80"/>
              <w:left w:type="dxa" w:w="110"/>
              <w:bottom w:type="dxa" w:w="80"/>
              <w:right w:type="dxa" w:w="110"/>
            </w:tcMar>
          </w:tcPr>
          <w:p>
            <w:r>
              <w:rPr>
                <w:sz w:val="18"/>
                <w:szCs w:val="18"/>
              </w:rPr>
              <w:t xml:space="preserve">DCEO administered. Building materials sales tax exemption, investment tax credit, utility tax exemptions. The Blue Collar Jobs Act construction credit requires an Enterprise Zone location with at least 10,000,000 USD capital investment. Reporting through the Illinois Department of Revenue</w:t>
            </w:r>
          </w:p>
        </w:tc>
      </w:tr>
      <w:tr>
        <w:trPr>
          <w:tblHeader w:val="false"/>
        </w:trPr>
        <w:tc>
          <w:tcPr>
            <w:tcW w:type="dxa" w:w="2400"/>
            <w:tcMar>
              <w:top w:type="dxa" w:w="80"/>
              <w:left w:type="dxa" w:w="110"/>
              <w:bottom w:type="dxa" w:w="80"/>
              <w:right w:type="dxa" w:w="110"/>
            </w:tcMar>
          </w:tcPr>
          <w:p>
            <w:r>
              <w:rPr>
                <w:sz w:val="18"/>
                <w:szCs w:val="18"/>
              </w:rPr>
              <w:t xml:space="preserve">River Edge Redevelopment Zones</w:t>
            </w:r>
          </w:p>
        </w:tc>
        <w:tc>
          <w:tcPr>
            <w:tcW w:type="dxa" w:w="6960"/>
            <w:tcMar>
              <w:top w:type="dxa" w:w="80"/>
              <w:left w:type="dxa" w:w="110"/>
              <w:bottom w:type="dxa" w:w="80"/>
              <w:right w:type="dxa" w:w="110"/>
            </w:tcMar>
          </w:tcPr>
          <w:p>
            <w:r>
              <w:rPr>
                <w:sz w:val="18"/>
                <w:szCs w:val="18"/>
              </w:rPr>
              <w:t xml:space="preserve">River Edge Redevelopment Zone Act, 65 ILCS 115/10-1 and following. DCEO designates zones in seven cities: Alton, Aurora, East St. Louis, Elgin, Peoria, Rockford and Sterling. Building materials sales tax exemption administered locally, property tax abatement at local option, dividend income deduction, financial institution interest deduction, new construction jobs credit, and a 25 per cent River Edge Historic Preservation Credit running through 31 December 2026. The Blue Collar Jobs Act construction credit requires a zone location with at least 1,000,000 USD capital investment</w:t>
            </w:r>
          </w:p>
        </w:tc>
      </w:tr>
      <w:tr>
        <w:trPr>
          <w:tblHeader w:val="false"/>
        </w:trPr>
        <w:tc>
          <w:tcPr>
            <w:tcW w:type="dxa" w:w="2400"/>
            <w:tcMar>
              <w:top w:type="dxa" w:w="80"/>
              <w:left w:type="dxa" w:w="110"/>
              <w:bottom w:type="dxa" w:w="80"/>
              <w:right w:type="dxa" w:w="110"/>
            </w:tcMar>
          </w:tcPr>
          <w:p>
            <w:r>
              <w:rPr>
                <w:sz w:val="18"/>
                <w:szCs w:val="18"/>
              </w:rPr>
              <w:t xml:space="preserve">High Impact Business</w:t>
            </w:r>
          </w:p>
        </w:tc>
        <w:tc>
          <w:tcPr>
            <w:tcW w:type="dxa" w:w="6960"/>
            <w:tcMar>
              <w:top w:type="dxa" w:w="80"/>
              <w:left w:type="dxa" w:w="110"/>
              <w:bottom w:type="dxa" w:w="80"/>
              <w:right w:type="dxa" w:w="110"/>
            </w:tcMar>
          </w:tcPr>
          <w:p>
            <w:r>
              <w:rPr>
                <w:sz w:val="18"/>
                <w:szCs w:val="18"/>
              </w:rPr>
              <w:t xml:space="preserve">DCEO. For large investments outside Enterprise Zones. Sales tax and utility tax exemptions. Includes coal and energy, wind energy and utility scale solar categories</w:t>
            </w:r>
          </w:p>
        </w:tc>
      </w:tr>
      <w:tr>
        <w:trPr>
          <w:tblHeader w:val="false"/>
        </w:trPr>
        <w:tc>
          <w:tcPr>
            <w:tcW w:type="dxa" w:w="2400"/>
            <w:tcMar>
              <w:top w:type="dxa" w:w="80"/>
              <w:left w:type="dxa" w:w="110"/>
              <w:bottom w:type="dxa" w:w="80"/>
              <w:right w:type="dxa" w:w="110"/>
            </w:tcMar>
          </w:tcPr>
          <w:p>
            <w:r>
              <w:rPr>
                <w:sz w:val="18"/>
                <w:szCs w:val="18"/>
              </w:rPr>
              <w:t xml:space="preserve">REV Illinois</w:t>
            </w:r>
          </w:p>
        </w:tc>
        <w:tc>
          <w:tcPr>
            <w:tcW w:type="dxa" w:w="6960"/>
            <w:tcMar>
              <w:top w:type="dxa" w:w="80"/>
              <w:left w:type="dxa" w:w="110"/>
              <w:bottom w:type="dxa" w:w="80"/>
              <w:right w:type="dxa" w:w="110"/>
            </w:tcMar>
          </w:tcPr>
          <w:p>
            <w:r>
              <w:rPr>
                <w:sz w:val="18"/>
                <w:szCs w:val="18"/>
              </w:rPr>
              <w:t xml:space="preserve">Reimagining Energy and Vehicles in Illinois Act, signed November 2021, amended by Public Act 102-1125 on 3 February 2023, at 20 ILCS 686. DCEO administered for electric vehicle, electric vehicle component and renewable energy manufacturers. Tier 1 at 2,500,000 USD investment and 50 new jobs within four years. Component parts manufacturer at 300,000,000 USD and 150 jobs. Large manufacturer tier at 1,500,000,000 USD and 500 jobs. Withholding tax retention, utility and sales tax exemptions, training credits and grants, benefits over 20 to 30 years, and an investment tax credit at 0.5 per cent of qualified property under the related MICRO framing</w:t>
            </w:r>
          </w:p>
        </w:tc>
      </w:tr>
      <w:tr>
        <w:trPr>
          <w:tblHeader w:val="false"/>
        </w:trPr>
        <w:tc>
          <w:tcPr>
            <w:tcW w:type="dxa" w:w="2400"/>
            <w:tcMar>
              <w:top w:type="dxa" w:w="80"/>
              <w:left w:type="dxa" w:w="110"/>
              <w:bottom w:type="dxa" w:w="80"/>
              <w:right w:type="dxa" w:w="110"/>
            </w:tcMar>
          </w:tcPr>
          <w:p>
            <w:r>
              <w:rPr>
                <w:sz w:val="18"/>
                <w:szCs w:val="18"/>
              </w:rPr>
              <w:t xml:space="preserve">EDGE</w:t>
            </w:r>
          </w:p>
        </w:tc>
        <w:tc>
          <w:tcPr>
            <w:tcW w:type="dxa" w:w="6960"/>
            <w:tcMar>
              <w:top w:type="dxa" w:w="80"/>
              <w:left w:type="dxa" w:w="110"/>
              <w:bottom w:type="dxa" w:w="80"/>
              <w:right w:type="dxa" w:w="110"/>
            </w:tcMar>
          </w:tcPr>
          <w:p>
            <w:r>
              <w:rPr>
                <w:sz w:val="18"/>
                <w:szCs w:val="18"/>
              </w:rPr>
              <w:t xml:space="preserve">Economic Development for a Growing Economy. Non refundable annual income tax credits for up to ten years equal to a percentage of new job withholdings. Companies with fewer than 100 global employees must create 50 new jobs or 5 per cent of worldwide employment, with no minimum investment. The but for test was removed by Public Act 102-1125</w:t>
            </w:r>
          </w:p>
        </w:tc>
      </w:tr>
      <w:tr>
        <w:trPr>
          <w:tblHeader w:val="false"/>
        </w:trPr>
        <w:tc>
          <w:tcPr>
            <w:tcW w:type="dxa" w:w="2400"/>
            <w:tcMar>
              <w:top w:type="dxa" w:w="80"/>
              <w:left w:type="dxa" w:w="110"/>
              <w:bottom w:type="dxa" w:w="80"/>
              <w:right w:type="dxa" w:w="110"/>
            </w:tcMar>
          </w:tcPr>
          <w:p>
            <w:r>
              <w:rPr>
                <w:sz w:val="18"/>
                <w:szCs w:val="18"/>
              </w:rPr>
              <w:t xml:space="preserve">Property tax abatement</w:t>
            </w:r>
          </w:p>
        </w:tc>
        <w:tc>
          <w:tcPr>
            <w:tcW w:type="dxa" w:w="6960"/>
            <w:tcMar>
              <w:top w:type="dxa" w:w="80"/>
              <w:left w:type="dxa" w:w="110"/>
              <w:bottom w:type="dxa" w:w="80"/>
              <w:right w:type="dxa" w:w="110"/>
            </w:tcMar>
          </w:tcPr>
          <w:p>
            <w:r>
              <w:rPr>
                <w:sz w:val="18"/>
                <w:szCs w:val="18"/>
              </w:rPr>
              <w:t xml:space="preserve">Local option. Rockford offers 100 per cent abatement for three years then 50 per cent for two years for qualifying non Tax Increment Financing projects, and it is not available within a Tax Increment Financing district</w:t>
            </w:r>
          </w:p>
        </w:tc>
      </w:tr>
      <w:tr>
        <w:trPr>
          <w:tblHeader w:val="false"/>
        </w:trPr>
        <w:tc>
          <w:tcPr>
            <w:tcW w:type="dxa" w:w="2400"/>
            <w:tcMar>
              <w:top w:type="dxa" w:w="80"/>
              <w:left w:type="dxa" w:w="110"/>
              <w:bottom w:type="dxa" w:w="80"/>
              <w:right w:type="dxa" w:w="110"/>
            </w:tcMar>
          </w:tcPr>
          <w:p>
            <w:r>
              <w:rPr>
                <w:sz w:val="18"/>
                <w:szCs w:val="18"/>
              </w:rPr>
              <w:t xml:space="preserve">Tax Increment Financing</w:t>
            </w:r>
          </w:p>
        </w:tc>
        <w:tc>
          <w:tcPr>
            <w:tcW w:type="dxa" w:w="6960"/>
            <w:tcMar>
              <w:top w:type="dxa" w:w="80"/>
              <w:left w:type="dxa" w:w="110"/>
              <w:bottom w:type="dxa" w:w="80"/>
              <w:right w:type="dxa" w:w="110"/>
            </w:tcMar>
          </w:tcPr>
          <w:p>
            <w:r>
              <w:rPr>
                <w:sz w:val="18"/>
                <w:szCs w:val="18"/>
              </w:rPr>
              <w:t xml:space="preserve">Units of local government may designate districts for industrial and redevelopment purposes. DCEO publishes the statewide overview</w:t>
            </w:r>
          </w:p>
        </w:tc>
      </w:tr>
    </w:tbl>
    <w:p>
      <w:pPr>
        <w:spacing w:after="200" w:before="80"/>
      </w:pPr>
      <w:r>
        <w:rPr>
          <w:i/>
          <w:iCs/>
          <w:color w:val="666666"/>
          <w:sz w:val="17"/>
          <w:szCs w:val="17"/>
        </w:rPr>
        <w:t xml:space="preserve">Source: dceo.illinois.gov Enterprise Zone, River Edge, High Impact Business, REV, EDGE and Tax Increment Financing pages; DCEO 2024 annual report on those programmes; rockfordil.gov; tax.illinois.gov.</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9. Thermal networks and district energy</w:t>
      </w:r>
    </w:p>
    <w:p>
      <w:pPr>
        <w:pStyle w:val="Heading2"/>
        <w:spacing w:after="120" w:before="280"/>
      </w:pPr>
      <w:r>
        <w:rPr>
          <w:b/>
          <w:bCs/>
          <w:color w:val="B02020"/>
          <w:sz w:val="24"/>
          <w:szCs w:val="24"/>
        </w:rPr>
        <w:t xml:space="preserve">9.1 The Chicago district cooling system</w:t>
      </w:r>
    </w:p>
    <w:p>
      <w:pPr>
        <w:spacing w:after="140"/>
      </w:pPr>
      <w:r>
        <w:rPr>
          <w:sz w:val="21"/>
          <w:szCs w:val="21"/>
        </w:rPr>
        <w:t xml:space="preserve">Operated by CenTrio, formerly Enwave Chicago and before that Exelon Thermal. Established in 1995.</w:t>
      </w:r>
    </w:p>
    <w:p>
      <w:pPr>
        <w:pStyle w:val="ListParagraph"/>
        <w:numPr>
          <w:ilvl w:val="0"/>
          <w:numId w:val="2"/>
        </w:numPr>
        <w:spacing w:after="90"/>
      </w:pPr>
      <w:r>
        <w:rPr>
          <w:sz w:val="21"/>
          <w:szCs w:val="21"/>
        </w:rPr>
        <w:t xml:space="preserve">Serves over 4.92 million sq m (53 million sq ft) of building space across 115 downtown Chicago buildings, described by CenTrio as North America’s largest carbon zero district cooling system. An older Enwave listing cites about 4.18 million sq m (45 million sq ft) across about 100 buildings.</w:t>
      </w:r>
    </w:p>
    <w:p>
      <w:pPr>
        <w:pStyle w:val="ListParagraph"/>
        <w:numPr>
          <w:ilvl w:val="0"/>
          <w:numId w:val="2"/>
        </w:numPr>
        <w:spacing w:after="90"/>
      </w:pPr>
      <w:r>
        <w:rPr>
          <w:sz w:val="21"/>
          <w:szCs w:val="21"/>
        </w:rPr>
        <w:t xml:space="preserve">Features North America’s largest ice thermal storage, a 99.99 per cent reliability record, and the ability to drop 50 MW off the electric grid.</w:t>
      </w:r>
    </w:p>
    <w:p>
      <w:pPr>
        <w:pStyle w:val="ListParagraph"/>
        <w:numPr>
          <w:ilvl w:val="0"/>
          <w:numId w:val="2"/>
        </w:numPr>
        <w:spacing w:after="90"/>
      </w:pPr>
      <w:r>
        <w:rPr>
          <w:sz w:val="21"/>
          <w:szCs w:val="21"/>
        </w:rPr>
        <w:t xml:space="preserve">Two of five distribution plants and one satellite plant use the Chicago River for heat rejection in place of cooling towers, reducing freshwater use associated with cooling by 541,000 cubic metres (143,000,000 gallons) annually. Total system water savings are cited separately at about 946,000 cubic metres (250 million gallons) a year.</w:t>
      </w:r>
    </w:p>
    <w:p>
      <w:pPr>
        <w:pStyle w:val="ListParagraph"/>
        <w:numPr>
          <w:ilvl w:val="0"/>
          <w:numId w:val="2"/>
        </w:numPr>
        <w:spacing w:after="90"/>
      </w:pPr>
      <w:r>
        <w:rPr>
          <w:sz w:val="21"/>
          <w:szCs w:val="21"/>
        </w:rPr>
        <w:t xml:space="preserve">Source and fuel. Electric chillers with river based aqua thermal heat rejection.</w:t>
      </w:r>
    </w:p>
    <w:p>
      <w:pPr>
        <w:pStyle w:val="Heading2"/>
        <w:spacing w:after="120" w:before="280"/>
      </w:pPr>
      <w:r>
        <w:rPr>
          <w:b/>
          <w:bCs/>
          <w:color w:val="B02020"/>
          <w:sz w:val="24"/>
          <w:szCs w:val="24"/>
        </w:rPr>
        <w:t xml:space="preserve">9.2 The Illinois Commerce Commission Thermal Energy Network Report</w:t>
      </w:r>
    </w:p>
    <w:p>
      <w:pPr>
        <w:spacing w:after="140"/>
      </w:pPr>
      <w:r>
        <w:rPr>
          <w:sz w:val="21"/>
          <w:szCs w:val="21"/>
        </w:rPr>
        <w:t xml:space="preserve">Mandated by Public Act 103-0580, which added Section 4-610 to the Public Utilities Act effective 8 December 2023, directing the Commission to convene a workshop process and report to the Governor and General Assembly by 1 March 2024. The Thermal Energy Network Forum, an informal process, ran across six sessions from 15 November 2023 to 10 January 2024. The report was published February 2024.</w:t>
      </w:r>
    </w:p>
    <w:p>
      <w:pPr>
        <w:spacing w:after="80" w:before="160"/>
      </w:pPr>
      <w:r>
        <w:rPr>
          <w:b/>
          <w:bCs/>
          <w:sz w:val="21"/>
          <w:szCs w:val="21"/>
        </w:rPr>
        <w:t xml:space="preserve">Findings relevant to compute</w:t>
      </w:r>
    </w:p>
    <w:p>
      <w:pPr>
        <w:spacing w:after="140"/>
      </w:pPr>
      <w:r>
        <w:rPr>
          <w:sz w:val="21"/>
          <w:szCs w:val="21"/>
        </w:rPr>
        <w:t xml:space="preserve">The report finds data centers a leading waste heat source, and identifies the Chicago district cooling system, cited at about 4.92 million sq m (53 million sq ft) across 115 buildings, as an expansion opportunity for recovering surplus data center energy for district heating.</w:t>
      </w:r>
    </w:p>
    <w:p>
      <w:pPr>
        <w:spacing w:after="80" w:before="160"/>
      </w:pPr>
      <w:r>
        <w:rPr>
          <w:b/>
          <w:bCs/>
          <w:sz w:val="21"/>
          <w:szCs w:val="21"/>
        </w:rPr>
        <w:t xml:space="preserve">The four recommendation categories</w:t>
      </w:r>
    </w:p>
    <w:p>
      <w:pPr>
        <w:pStyle w:val="ListParagraph"/>
        <w:numPr>
          <w:ilvl w:val="0"/>
          <w:numId w:val="2"/>
        </w:numPr>
        <w:spacing w:after="90"/>
      </w:pPr>
      <w:r>
        <w:rPr>
          <w:sz w:val="21"/>
          <w:szCs w:val="21"/>
        </w:rPr>
        <w:t xml:space="preserve">Gather more information before legislative or regulatory changes.</w:t>
      </w:r>
    </w:p>
    <w:p>
      <w:pPr>
        <w:pStyle w:val="ListParagraph"/>
        <w:numPr>
          <w:ilvl w:val="0"/>
          <w:numId w:val="2"/>
        </w:numPr>
        <w:spacing w:after="90"/>
      </w:pPr>
      <w:r>
        <w:rPr>
          <w:sz w:val="21"/>
          <w:szCs w:val="21"/>
        </w:rPr>
        <w:t xml:space="preserve">Incentivise deployment by non utility providers.</w:t>
      </w:r>
    </w:p>
    <w:p>
      <w:pPr>
        <w:pStyle w:val="ListParagraph"/>
        <w:numPr>
          <w:ilvl w:val="0"/>
          <w:numId w:val="2"/>
        </w:numPr>
        <w:spacing w:after="90"/>
      </w:pPr>
      <w:r>
        <w:rPr>
          <w:sz w:val="21"/>
          <w:szCs w:val="21"/>
        </w:rPr>
        <w:t xml:space="preserve">Impose consumer protections on providers.</w:t>
      </w:r>
    </w:p>
    <w:p>
      <w:pPr>
        <w:pStyle w:val="ListParagraph"/>
        <w:numPr>
          <w:ilvl w:val="0"/>
          <w:numId w:val="2"/>
        </w:numPr>
        <w:spacing w:after="90"/>
      </w:pPr>
      <w:r>
        <w:rPr>
          <w:sz w:val="21"/>
          <w:szCs w:val="21"/>
        </w:rPr>
        <w:t xml:space="preserve">Provide for regulated utilities to offer thermal energy networks.</w:t>
      </w:r>
    </w:p>
    <w:p>
      <w:pPr>
        <w:spacing w:after="80" w:before="160"/>
      </w:pPr>
      <w:r>
        <w:rPr>
          <w:b/>
          <w:bCs/>
          <w:sz w:val="21"/>
          <w:szCs w:val="21"/>
        </w:rPr>
        <w:t xml:space="preserve">Related processes</w:t>
      </w:r>
    </w:p>
    <w:p>
      <w:pPr>
        <w:spacing w:after="140"/>
      </w:pPr>
      <w:r>
        <w:rPr>
          <w:sz w:val="21"/>
          <w:szCs w:val="21"/>
        </w:rPr>
        <w:t xml:space="preserve">Separate Future of Gas and Non-Pipeline Alternatives workshops received 103 pilot submittals against a 6 December 2024 deadline. House Bill 2875 of the 103rd General Assembly, a Thermal Energy Network and Jobs Act, would have mandated utility pilots. The enacted path was the Public Act 103-0580 workshop and report.</w:t>
      </w:r>
    </w:p>
    <w:p>
      <w:pPr>
        <w:spacing w:after="200" w:before="80"/>
      </w:pPr>
      <w:r>
        <w:rPr>
          <w:i/>
          <w:iCs/>
          <w:color w:val="666666"/>
          <w:sz w:val="17"/>
          <w:szCs w:val="17"/>
        </w:rPr>
        <w:t xml:space="preserve">Source: ilga.gov Thermal Energy Network Report 2024; icc.illinois.gov Future of Gas pilots document, 31 December 2025; trackbill.com HB2875; prnewswire and districtenergyaward.org for CenTrio; loopchicago.com.</w:t>
      </w:r>
    </w:p>
    <w:p>
      <w:r>
        <w:br w:type="page"/>
      </w:r>
    </w:p>
    <w:p>
      <w:pPr>
        <w:pStyle w:val="Heading1"/>
        <w:spacing w:after="160" w:before="380"/>
      </w:pPr>
      <w:r>
        <w:rPr>
          <w:b/>
          <w:bCs/>
          <w:color w:val="222222"/>
          <w:sz w:val="30"/>
          <w:szCs w:val="30"/>
        </w:rPr>
        <w:t xml:space="preserve">10. Wastewater treatment as a thermal resource class</w:t>
      </w:r>
    </w:p>
    <w:p>
      <w:pPr>
        <w:spacing w:after="140"/>
      </w:pPr>
      <w:r>
        <w:rPr>
          <w:sz w:val="21"/>
          <w:szCs w:val="21"/>
        </w:rPr>
        <w:t xml:space="preserve">Institutional and procurement framework only.</w:t>
      </w:r>
    </w:p>
    <w:p>
      <w:pPr>
        <w:pStyle w:val="Heading2"/>
        <w:spacing w:after="120" w:before="280"/>
      </w:pPr>
      <w:r>
        <w:rPr>
          <w:b/>
          <w:bCs/>
          <w:color w:val="B02020"/>
          <w:sz w:val="24"/>
          <w:szCs w:val="24"/>
        </w:rPr>
        <w:t xml:space="preserve">10.1 The governing body</w:t>
      </w:r>
    </w:p>
    <w:p>
      <w:pPr>
        <w:spacing w:after="140"/>
      </w:pPr>
      <w:r>
        <w:rPr>
          <w:sz w:val="21"/>
          <w:szCs w:val="21"/>
        </w:rPr>
        <w:t xml:space="preserve">The Metropolitan Water Reclamation District of Greater Chicago was established in 1889. It is a special purpose government agency governed by an elected Board of Commissioners, responsible for wastewater treatment and stormwater management in Cook County. It operates seven water reclamation plants, treats about 1.70 billion cubic metres (450 billion gallons) a year, and serves more than 5 million people across a 2,287 sq km (883 sq mi) service area. National Pollutant Discharge Elimination System permits are issued by the State of Illinois through Illinois EPA.</w:t>
      </w:r>
    </w:p>
    <w:p>
      <w:pPr>
        <w:pStyle w:val="Heading2"/>
        <w:spacing w:after="120" w:before="280"/>
      </w:pPr>
      <w:r>
        <w:rPr>
          <w:b/>
          <w:bCs/>
          <w:color w:val="B02020"/>
          <w:sz w:val="24"/>
          <w:szCs w:val="24"/>
        </w:rPr>
        <w:t xml:space="preserve">10.2 Published scale of the largest plant</w:t>
      </w:r>
    </w:p>
    <w:p>
      <w:pPr>
        <w:spacing w:after="140"/>
      </w:pPr>
      <w:r>
        <w:rPr>
          <w:sz w:val="21"/>
          <w:szCs w:val="21"/>
        </w:rPr>
        <w:t xml:space="preserve">The Stickney Water Reclamation Plant is the largest wastewater treatment plant in the world, located in Cicero, Illinois, on 167 ha (413 acres), serving 2.38 million people across 673 sq km (260 sq mi), covering central Chicago and 43 to 46 suburban communities. Average flow is about 2.65 million cubic metres a day (700 million gallons a day).</w:t>
      </w:r>
    </w:p>
    <w:p>
      <w:pPr>
        <w:spacing w:after="80" w:before="160"/>
      </w:pPr>
      <w:r>
        <w:rPr>
          <w:b/>
          <w:bCs/>
          <w:sz w:val="21"/>
          <w:szCs w:val="21"/>
        </w:rPr>
        <w:t xml:space="preserve">Capacity figures conflict across sources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4680"/>
        <w:gridCol w:w="4680"/>
      </w:tblGrid>
      <w:tr>
        <w:trPr>
          <w:tblHeader/>
        </w:trPr>
        <w:tc>
          <w:tcPr>
            <w:tcW w:type="dxa" w:w="4680"/>
            <w:shd w:fill="F2F2F2" w:color="auto" w:val="clear"/>
            <w:tcMar>
              <w:top w:type="dxa" w:w="80"/>
              <w:left w:type="dxa" w:w="110"/>
              <w:bottom w:type="dxa" w:w="80"/>
              <w:right w:type="dxa" w:w="110"/>
            </w:tcMar>
          </w:tcPr>
          <w:p>
            <w:r>
              <w:rPr>
                <w:b/>
                <w:bCs/>
                <w:sz w:val="18"/>
                <w:szCs w:val="18"/>
              </w:rPr>
              <w:t xml:space="preserve">Figure</w:t>
            </w:r>
          </w:p>
        </w:tc>
        <w:tc>
          <w:tcPr>
            <w:tcW w:type="dxa" w:w="4680"/>
            <w:shd w:fill="F2F2F2" w:color="auto" w:val="clear"/>
            <w:tcMar>
              <w:top w:type="dxa" w:w="80"/>
              <w:left w:type="dxa" w:w="110"/>
              <w:bottom w:type="dxa" w:w="80"/>
              <w:right w:type="dxa" w:w="110"/>
            </w:tcMar>
          </w:tcPr>
          <w:p>
            <w:r>
              <w:rPr>
                <w:b/>
                <w:bCs/>
                <w:sz w:val="18"/>
                <w:szCs w:val="18"/>
              </w:rPr>
              <w:t xml:space="preserve">Source</w:t>
            </w:r>
          </w:p>
        </w:tc>
      </w:tr>
      <w:tr>
        <w:trPr>
          <w:tblHeader w:val="false"/>
        </w:trPr>
        <w:tc>
          <w:tcPr>
            <w:tcW w:type="dxa" w:w="4680"/>
            <w:tcMar>
              <w:top w:type="dxa" w:w="80"/>
              <w:left w:type="dxa" w:w="110"/>
              <w:bottom w:type="dxa" w:w="80"/>
              <w:right w:type="dxa" w:w="110"/>
            </w:tcMar>
          </w:tcPr>
          <w:p>
            <w:r>
              <w:rPr>
                <w:sz w:val="18"/>
                <w:szCs w:val="18"/>
              </w:rPr>
              <w:t xml:space="preserve">4.54 million cubic metres a day (1.2 billion gallons a day)</w:t>
            </w:r>
          </w:p>
        </w:tc>
        <w:tc>
          <w:tcPr>
            <w:tcW w:type="dxa" w:w="4680"/>
            <w:tcMar>
              <w:top w:type="dxa" w:w="80"/>
              <w:left w:type="dxa" w:w="110"/>
              <w:bottom w:type="dxa" w:w="80"/>
              <w:right w:type="dxa" w:w="110"/>
            </w:tcMar>
          </w:tcPr>
          <w:p>
            <w:r>
              <w:rPr>
                <w:sz w:val="18"/>
                <w:szCs w:val="18"/>
              </w:rPr>
              <w:t xml:space="preserve">ENR, 2017</w:t>
            </w:r>
          </w:p>
        </w:tc>
      </w:tr>
      <w:tr>
        <w:trPr>
          <w:tblHeader w:val="false"/>
        </w:trPr>
        <w:tc>
          <w:tcPr>
            <w:tcW w:type="dxa" w:w="4680"/>
            <w:tcMar>
              <w:top w:type="dxa" w:w="80"/>
              <w:left w:type="dxa" w:w="110"/>
              <w:bottom w:type="dxa" w:w="80"/>
              <w:right w:type="dxa" w:w="110"/>
            </w:tcMar>
          </w:tcPr>
          <w:p>
            <w:r>
              <w:rPr>
                <w:sz w:val="18"/>
                <w:szCs w:val="18"/>
              </w:rPr>
              <w:t xml:space="preserve">5.30 million cubic metres a day (1.4 billion gallons a day)</w:t>
            </w:r>
          </w:p>
        </w:tc>
        <w:tc>
          <w:tcPr>
            <w:tcW w:type="dxa" w:w="4680"/>
            <w:tcMar>
              <w:top w:type="dxa" w:w="80"/>
              <w:left w:type="dxa" w:w="110"/>
              <w:bottom w:type="dxa" w:w="80"/>
              <w:right w:type="dxa" w:w="110"/>
            </w:tcMar>
          </w:tcPr>
          <w:p>
            <w:r>
              <w:rPr>
                <w:sz w:val="18"/>
                <w:szCs w:val="18"/>
              </w:rPr>
              <w:t xml:space="preserve">MWRD wastewater treatment and Stickney location pages</w:t>
            </w:r>
          </w:p>
        </w:tc>
      </w:tr>
      <w:tr>
        <w:trPr>
          <w:tblHeader w:val="false"/>
        </w:trPr>
        <w:tc>
          <w:tcPr>
            <w:tcW w:type="dxa" w:w="4680"/>
            <w:tcMar>
              <w:top w:type="dxa" w:w="80"/>
              <w:left w:type="dxa" w:w="110"/>
              <w:bottom w:type="dxa" w:w="80"/>
              <w:right w:type="dxa" w:w="110"/>
            </w:tcMar>
          </w:tcPr>
          <w:p>
            <w:r>
              <w:rPr>
                <w:sz w:val="18"/>
                <w:szCs w:val="18"/>
              </w:rPr>
              <w:t xml:space="preserve">5.45 million cubic metres a day (1.44 billion gallons a day)</w:t>
            </w:r>
          </w:p>
        </w:tc>
        <w:tc>
          <w:tcPr>
            <w:tcW w:type="dxa" w:w="4680"/>
            <w:tcMar>
              <w:top w:type="dxa" w:w="80"/>
              <w:left w:type="dxa" w:w="110"/>
              <w:bottom w:type="dxa" w:w="80"/>
              <w:right w:type="dxa" w:w="110"/>
            </w:tcMar>
          </w:tcPr>
          <w:p>
            <w:r>
              <w:rPr>
                <w:sz w:val="18"/>
                <w:szCs w:val="18"/>
              </w:rPr>
              <w:t xml:space="preserve">US Water Alliance and TYLin</w:t>
            </w:r>
          </w:p>
        </w:tc>
      </w:tr>
    </w:tbl>
    <w:p>
      <w:pPr>
        <w:spacing w:after="140"/>
      </w:pPr>
      <w:r>
        <w:rPr>
          <w:sz w:val="21"/>
          <w:szCs w:val="21"/>
        </w:rPr>
        <w:t xml:space="preserve">The plant consists of the West Side Plant of 1930 and the Southwest Plant of 1939. It hosts the world’s largest nutrient recovery facility, operated with Ostara, producing about 9,070 tonnes (10,000 tons) a year of slow release fertiliser and recovering more than 85 per cent of phosphorus, and a pilot algae reactor with Gross-Wen Technologies for nitrogen and carbon.</w:t>
      </w:r>
    </w:p>
    <w:p>
      <w:pPr>
        <w:pStyle w:val="Heading2"/>
        <w:spacing w:after="120" w:before="280"/>
      </w:pPr>
      <w:r>
        <w:rPr>
          <w:b/>
          <w:bCs/>
          <w:color w:val="B02020"/>
          <w:sz w:val="24"/>
          <w:szCs w:val="24"/>
        </w:rPr>
        <w:t xml:space="preserve">10.3 Procurement framework</w:t>
      </w:r>
    </w:p>
    <w:p>
      <w:pPr>
        <w:spacing w:after="140"/>
      </w:pPr>
      <w:r>
        <w:rPr>
          <w:sz w:val="21"/>
          <w:szCs w:val="21"/>
        </w:rPr>
        <w:t xml:space="preserve">A private party contracts with an Illinois sanitary district under the district statutory procurement authority, being the Metropolitan Water Reclamation District Act for MWRD and the Sanitary District Act framework for others, through the district competitive procurement and board approval process.</w:t>
      </w:r>
    </w:p>
    <w:p>
      <w:pPr>
        <w:spacing w:after="200" w:before="80"/>
      </w:pPr>
      <w:r>
        <w:rPr>
          <w:i/>
          <w:iCs/>
          <w:color w:val="666666"/>
          <w:sz w:val="17"/>
          <w:szCs w:val="17"/>
        </w:rPr>
        <w:t xml:space="preserve">Source: mwrd.org; ENR, 2017; US Water Alliance; TYLin.</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11. Water and rainwater</w:t>
      </w:r>
    </w:p>
    <w:p>
      <w:pPr>
        <w:spacing w:after="80" w:before="160"/>
      </w:pPr>
      <w:r>
        <w:rPr>
          <w:b/>
          <w:bCs/>
          <w:sz w:val="21"/>
          <w:szCs w:val="21"/>
        </w:rPr>
        <w:t xml:space="preserve">Statute</w:t>
      </w:r>
    </w:p>
    <w:p>
      <w:pPr>
        <w:spacing w:after="140"/>
      </w:pPr>
      <w:r>
        <w:rPr>
          <w:sz w:val="21"/>
          <w:szCs w:val="21"/>
        </w:rPr>
        <w:t xml:space="preserve">Senate Bill 2549 of the 2009 to 2010 session amended the Illinois Plumbing License Law so that plumbing includes rainwater harvesting distribution systems, and directed the Illinois Department of Public Health to adopt a minimum code of standards for rainwater harvesting collection and distribution systems. Systems must be used only for non potable uses and constructed per the Illinois Plumbing Code. Secondary reporting from WGN9 and iHeart states that collection over 18,900 litres (5,000 gallons) at one time and non compliant potting trigger additional constraints.</w:t>
      </w:r>
    </w:p>
    <w:p>
      <w:pPr>
        <w:spacing w:after="80" w:before="160"/>
      </w:pPr>
      <w:r>
        <w:rPr>
          <w:b/>
          <w:bCs/>
          <w:sz w:val="21"/>
          <w:szCs w:val="21"/>
        </w:rPr>
        <w:t xml:space="preserve">Approved non potable end uses</w:t>
      </w:r>
    </w:p>
    <w:p>
      <w:pPr>
        <w:spacing w:after="140"/>
      </w:pPr>
      <w:r>
        <w:rPr>
          <w:sz w:val="21"/>
          <w:szCs w:val="21"/>
        </w:rPr>
        <w:t xml:space="preserve">Per the United States Environmental Protection Agency REUSExplorer summary for Illinois, onsite non potable reuse of rainwater collected onsite is approved for water closets, urinals, fire safety systems, clothes washing, HVAC cooling water, decorative fountains, vehicle washing and ice rinks, plus landscape and irrigation uses.</w:t>
      </w:r>
    </w:p>
    <w:p>
      <w:pPr>
        <w:spacing w:after="140"/>
      </w:pPr>
      <w:r>
        <w:rPr>
          <w:sz w:val="21"/>
          <w:szCs w:val="21"/>
        </w:rPr>
        <w:t xml:space="preserve">Fertigation, toilet flushing and fire reserve fall within these categories and must conform to the Illinois Plumbing Code. Centralised and district scale reuse and stormwater are classified separately.</w:t>
      </w:r>
    </w:p>
    <w:p>
      <w:pPr>
        <w:spacing w:after="80" w:before="160"/>
      </w:pPr>
      <w:r>
        <w:rPr>
          <w:b/>
          <w:bCs/>
          <w:sz w:val="21"/>
          <w:szCs w:val="21"/>
        </w:rPr>
        <w:t xml:space="preserve">Permitting and stormwater</w:t>
      </w:r>
    </w:p>
    <w:p>
      <w:pPr>
        <w:pStyle w:val="ListParagraph"/>
        <w:numPr>
          <w:ilvl w:val="0"/>
          <w:numId w:val="2"/>
        </w:numPr>
        <w:spacing w:after="90"/>
      </w:pPr>
      <w:r>
        <w:rPr>
          <w:sz w:val="21"/>
          <w:szCs w:val="21"/>
        </w:rPr>
        <w:t xml:space="preserve">Rainwater harvesting is not prohibited. Systems connected to interior plumbing require a permit and backflow prevention.</w:t>
      </w:r>
    </w:p>
    <w:p>
      <w:pPr>
        <w:pStyle w:val="ListParagraph"/>
        <w:numPr>
          <w:ilvl w:val="0"/>
          <w:numId w:val="2"/>
        </w:numPr>
        <w:spacing w:after="90"/>
      </w:pPr>
      <w:r>
        <w:rPr>
          <w:sz w:val="21"/>
          <w:szCs w:val="21"/>
        </w:rPr>
        <w:t xml:space="preserve">The Illinois Department of Natural Resources administers the surface water rights framework.</w:t>
      </w:r>
    </w:p>
    <w:p>
      <w:pPr>
        <w:pStyle w:val="ListParagraph"/>
        <w:numPr>
          <w:ilvl w:val="0"/>
          <w:numId w:val="2"/>
        </w:numPr>
        <w:spacing w:after="90"/>
      </w:pPr>
      <w:r>
        <w:rPr>
          <w:sz w:val="21"/>
          <w:szCs w:val="21"/>
        </w:rPr>
        <w:t xml:space="preserve">The MWRD Watershed Management Ordinance imposes stormwater retention requirements for sites above a 0.2 ha (0.5 acre) threshold.</w:t>
      </w:r>
    </w:p>
    <w:p>
      <w:pPr>
        <w:spacing w:after="80" w:before="160"/>
      </w:pPr>
      <w:r>
        <w:rPr>
          <w:b/>
          <w:bCs/>
          <w:sz w:val="21"/>
          <w:szCs w:val="21"/>
        </w:rPr>
        <w:t xml:space="preserve">Funding</w:t>
      </w:r>
    </w:p>
    <w:p>
      <w:pPr>
        <w:spacing w:after="140"/>
      </w:pPr>
      <w:r>
        <w:rPr>
          <w:sz w:val="21"/>
          <w:szCs w:val="21"/>
        </w:rPr>
        <w:t xml:space="preserve">Illinois EPA State Revolving Fund. The Water Pollution Control Loan Program covers wastewater and stormwater, authorised at 415 ILCS 5/19.3, and the Public Water Supply Loan Program covers drinking water. Low interest loans, typically 20 year, are available to eligible public or private applicants. Green Project Reserve components covering water and energy efficiency, reuse and recapture may qualify for principal forgiveness. The funding nomination form is due 31 March.</w:t>
      </w:r>
    </w:p>
    <w:p>
      <w:pPr>
        <w:spacing w:after="200" w:before="80"/>
      </w:pPr>
      <w:r>
        <w:rPr>
          <w:i/>
          <w:iCs/>
          <w:color w:val="666666"/>
          <w:sz w:val="17"/>
          <w:szCs w:val="17"/>
        </w:rPr>
        <w:t xml:space="preserve">Source: Illinois General Assembly SB2549; epa.gov REUSExplorer Illinois summary; epa.illinois.gov; mwrd.org Watershed Management Ordinance; WGN9 and iHeart as secondary reporting.</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12. Agriculture, controlled environment growing and food</w:t>
      </w:r>
    </w:p>
    <w:p>
      <w:pPr>
        <w:spacing w:after="80" w:before="160"/>
      </w:pPr>
      <w:r>
        <w:rPr>
          <w:b/>
          <w:bCs/>
          <w:sz w:val="21"/>
          <w:szCs w:val="21"/>
        </w:rPr>
        <w:t xml:space="preserve">Local Food Infrastructure Grant</w:t>
      </w:r>
    </w:p>
    <w:p>
      <w:pPr>
        <w:spacing w:after="140"/>
      </w:pPr>
      <w:r>
        <w:rPr>
          <w:sz w:val="21"/>
          <w:szCs w:val="21"/>
        </w:rPr>
        <w:t xml:space="preserve">Administered by the Illinois Department of Agriculture from FY2025, having been administered by the Illinois Stewardship Alliance in its first year in 2024. The FY2026 round is about 4,000,000 USD. Award ceilings conflict: up to 75,000 USD individual and 250,000 USD collaborative per Capitol News Illinois, against up to 150,000 USD in the 2024 round. Eligible applicants are Illinois farms, food businesses, cooperatives, institutions and food hubs, with Capitol News Illinois citing fewer than 50 employees. Funds infrastructure and equipment for processing, aggregation, distribution, refrigerated vehicles and community kitchens. The application is expected to open early January.</w:t>
      </w:r>
    </w:p>
    <w:p>
      <w:pPr>
        <w:spacing w:after="80" w:before="160"/>
      </w:pPr>
      <w:r>
        <w:rPr>
          <w:b/>
          <w:bCs/>
          <w:sz w:val="21"/>
          <w:szCs w:val="21"/>
        </w:rPr>
        <w:t xml:space="preserve">Other Illinois Department of Agriculture programmes</w:t>
      </w:r>
    </w:p>
    <w:p>
      <w:pPr>
        <w:pStyle w:val="ListParagraph"/>
        <w:numPr>
          <w:ilvl w:val="0"/>
          <w:numId w:val="2"/>
        </w:numPr>
        <w:spacing w:after="90"/>
      </w:pPr>
      <w:r>
        <w:rPr>
          <w:sz w:val="21"/>
          <w:szCs w:val="21"/>
        </w:rPr>
        <w:t xml:space="preserve">Illinois Specialty Crop Grant Program, a USDA Specialty Crop Block Grant pass through.</w:t>
      </w:r>
    </w:p>
    <w:p>
      <w:pPr>
        <w:pStyle w:val="ListParagraph"/>
        <w:numPr>
          <w:ilvl w:val="0"/>
          <w:numId w:val="2"/>
        </w:numPr>
        <w:spacing w:after="90"/>
      </w:pPr>
      <w:r>
        <w:rPr>
          <w:sz w:val="21"/>
          <w:szCs w:val="21"/>
        </w:rPr>
        <w:t xml:space="preserve">Resilient Food Systems Infrastructure programme.</w:t>
      </w:r>
    </w:p>
    <w:p>
      <w:pPr>
        <w:pStyle w:val="ListParagraph"/>
        <w:numPr>
          <w:ilvl w:val="0"/>
          <w:numId w:val="2"/>
        </w:numPr>
        <w:spacing w:after="90"/>
      </w:pPr>
      <w:r>
        <w:rPr>
          <w:sz w:val="21"/>
          <w:szCs w:val="21"/>
        </w:rPr>
        <w:t xml:space="preserve">Illinois EATS, the Local Food Purchase Assistance programme, administered by the Illinois Department of Human Services.</w:t>
      </w:r>
    </w:p>
    <w:p>
      <w:pPr>
        <w:spacing w:after="80" w:before="160"/>
      </w:pPr>
      <w:r>
        <w:rPr>
          <w:b/>
          <w:bCs/>
          <w:sz w:val="21"/>
          <w:szCs w:val="21"/>
        </w:rPr>
        <w:t xml:space="preserve">Urban agriculture</w:t>
      </w:r>
    </w:p>
    <w:p>
      <w:pPr>
        <w:spacing w:after="140"/>
      </w:pPr>
      <w:r>
        <w:rPr>
          <w:sz w:val="21"/>
          <w:szCs w:val="21"/>
        </w:rPr>
        <w:t xml:space="preserve">USDA Office of Urban Agriculture and Innovative Production grants cover planning and implementation projects for farmers, gardeners, government, schools and nonprofits. IAM-Chi grants run 1,000 to 25,000 USD for novel urban agriculture projects through University of Illinois Extension. Advocates for Urban Agriculture operates in Chicago.</w:t>
      </w:r>
    </w:p>
    <w:p>
      <w:pPr>
        <w:spacing w:after="80" w:before="160"/>
      </w:pPr>
      <w:r>
        <w:rPr>
          <w:b/>
          <w:bCs/>
          <w:sz w:val="21"/>
          <w:szCs w:val="21"/>
        </w:rPr>
        <w:t xml:space="preserve">Indoor growing energy</w:t>
      </w:r>
    </w:p>
    <w:p>
      <w:pPr>
        <w:spacing w:after="140"/>
      </w:pPr>
      <w:r>
        <w:rPr>
          <w:sz w:val="21"/>
          <w:szCs w:val="21"/>
        </w:rPr>
        <w:t xml:space="preserve">The Midwest Energy Efficiency Alliance maintains an Indoor Agriculture research initiative. No dedicated Illinois state greenhouse or indoor farming energy grant was identified in the sources gathered.</w:t>
      </w:r>
    </w:p>
    <w:p>
      <w:pPr>
        <w:spacing w:after="200" w:before="80"/>
      </w:pPr>
      <w:r>
        <w:rPr>
          <w:i/>
          <w:iCs/>
          <w:color w:val="666666"/>
          <w:sz w:val="17"/>
          <w:szCs w:val="17"/>
        </w:rPr>
        <w:t xml:space="preserve">Source: agr.illinois.gov grant programmes and Local Food Infrastructure Grant pages; illinoislfig.org; Capitol News Illinois; ilfb.org; mwalliance.org.</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13. Federal money through Illinois</w:t>
      </w:r>
    </w:p>
    <w:p>
      <w:pPr>
        <w:spacing w:after="80" w:before="160"/>
      </w:pPr>
      <w:r>
        <w:rPr>
          <w:b/>
          <w:bCs/>
          <w:sz w:val="21"/>
          <w:szCs w:val="21"/>
        </w:rPr>
        <w:t xml:space="preserve">Climate Pollution Reduction Grants</w:t>
      </w:r>
    </w:p>
    <w:p>
      <w:pPr>
        <w:spacing w:after="140"/>
      </w:pPr>
      <w:r>
        <w:rPr>
          <w:sz w:val="21"/>
          <w:szCs w:val="21"/>
        </w:rPr>
        <w:t xml:space="preserve">The United States Environmental Protection Agency selected Illinois on 22 July 2024 to receive a 430,251,378 USD Climate Pollution Reduction Grant, the third largest of 25 grants totalling 4.3 billion USD, from about 300 applicants requesting nearly 33 billion USD. Illinois EPA is applicant and administrator.</w:t>
      </w:r>
    </w:p>
    <w:p>
      <w:pPr>
        <w:spacing w:after="80" w:before="160"/>
      </w:pPr>
      <w:r>
        <w:rPr>
          <w:b/>
          <w:bCs/>
          <w:sz w:val="21"/>
          <w:szCs w:val="21"/>
        </w:rPr>
        <w:t xml:space="preserve">The five priority areas</w:t>
      </w:r>
    </w:p>
    <w:p>
      <w:pPr>
        <w:pStyle w:val="ListParagraph"/>
        <w:numPr>
          <w:ilvl w:val="0"/>
          <w:numId w:val="2"/>
        </w:numPr>
        <w:spacing w:after="90"/>
      </w:pPr>
      <w:r>
        <w:rPr>
          <w:sz w:val="21"/>
          <w:szCs w:val="21"/>
        </w:rPr>
        <w:t xml:space="preserve">Accelerating clean and efficient building adoption.</w:t>
      </w:r>
    </w:p>
    <w:p>
      <w:pPr>
        <w:pStyle w:val="ListParagraph"/>
        <w:numPr>
          <w:ilvl w:val="0"/>
          <w:numId w:val="2"/>
        </w:numPr>
        <w:spacing w:after="90"/>
      </w:pPr>
      <w:r>
        <w:rPr>
          <w:sz w:val="21"/>
          <w:szCs w:val="21"/>
        </w:rPr>
        <w:t xml:space="preserve">Deploying clean transportation and freight.</w:t>
      </w:r>
    </w:p>
    <w:p>
      <w:pPr>
        <w:pStyle w:val="ListParagraph"/>
        <w:numPr>
          <w:ilvl w:val="0"/>
          <w:numId w:val="2"/>
        </w:numPr>
        <w:spacing w:after="90"/>
      </w:pPr>
      <w:r>
        <w:rPr>
          <w:sz w:val="21"/>
          <w:szCs w:val="21"/>
        </w:rPr>
        <w:t xml:space="preserve">Kick starting industry decarbonisation.</w:t>
      </w:r>
    </w:p>
    <w:p>
      <w:pPr>
        <w:pStyle w:val="ListParagraph"/>
        <w:numPr>
          <w:ilvl w:val="0"/>
          <w:numId w:val="2"/>
        </w:numPr>
        <w:spacing w:after="90"/>
      </w:pPr>
      <w:r>
        <w:rPr>
          <w:sz w:val="21"/>
          <w:szCs w:val="21"/>
        </w:rPr>
        <w:t xml:space="preserve">Expanding climate smart agriculture.</w:t>
      </w:r>
    </w:p>
    <w:p>
      <w:pPr>
        <w:pStyle w:val="ListParagraph"/>
        <w:numPr>
          <w:ilvl w:val="0"/>
          <w:numId w:val="2"/>
        </w:numPr>
        <w:spacing w:after="90"/>
      </w:pPr>
      <w:r>
        <w:rPr>
          <w:sz w:val="21"/>
          <w:szCs w:val="21"/>
        </w:rPr>
        <w:t xml:space="preserve">Keeping clean power goals on track.</w:t>
      </w:r>
    </w:p>
    <w:p>
      <w:pPr>
        <w:spacing w:after="140"/>
      </w:pPr>
      <w:r>
        <w:rPr>
          <w:sz w:val="21"/>
          <w:szCs w:val="21"/>
        </w:rPr>
        <w:t xml:space="preserve">The Illinois Priority Climate Action Plan was submitted 1 March 2024. The Chicago metropolitan statistical area received a 1,000,000 USD planning grant through the Metropolitan Mayors Caucus under assistance agreement 00E03470, and Illinois received a 3,000,000 USD planning grant. Implementation applications were due 1 April 2024. Illinois EPA held nine public meetings on the implementation plan in summer 2025.</w:t>
      </w:r>
    </w:p>
    <w:p>
      <w:pPr>
        <w:spacing w:after="80" w:before="160"/>
      </w:pPr>
      <w:r>
        <w:rPr>
          <w:b/>
          <w:bCs/>
          <w:sz w:val="21"/>
          <w:szCs w:val="21"/>
        </w:rPr>
        <w:t xml:space="preserve">USDA Rural Energy for America Program</w:t>
      </w:r>
    </w:p>
    <w:p>
      <w:pPr>
        <w:pStyle w:val="ListParagraph"/>
        <w:numPr>
          <w:ilvl w:val="0"/>
          <w:numId w:val="2"/>
        </w:numPr>
        <w:spacing w:after="90"/>
      </w:pPr>
      <w:r>
        <w:rPr>
          <w:sz w:val="21"/>
          <w:szCs w:val="21"/>
        </w:rPr>
        <w:t xml:space="preserve">Guaranteed loans and grants to agricultural producers and rural small businesses for renewable energy systems and energy efficiency improvements. Agricultural producers may be in non rural areas. Rural small businesses must be in eligible rural areas.</w:t>
      </w:r>
    </w:p>
    <w:p>
      <w:pPr>
        <w:pStyle w:val="ListParagraph"/>
        <w:numPr>
          <w:ilvl w:val="0"/>
          <w:numId w:val="2"/>
        </w:numPr>
        <w:spacing w:after="90"/>
      </w:pPr>
      <w:r>
        <w:rPr>
          <w:sz w:val="21"/>
          <w:szCs w:val="21"/>
        </w:rPr>
        <w:t xml:space="preserve">Grants limited to 25 per cent of project cost. Loan guarantee up to 25,000,000 USD. Combined grant and loan at least 5,000 USD, grant at least 1,500 USD, and no more than 75 per cent of project cost.</w:t>
      </w:r>
    </w:p>
    <w:p>
      <w:pPr>
        <w:pStyle w:val="ListParagraph"/>
        <w:numPr>
          <w:ilvl w:val="0"/>
          <w:numId w:val="2"/>
        </w:numPr>
        <w:spacing w:after="90"/>
      </w:pPr>
      <w:r>
        <w:rPr>
          <w:sz w:val="21"/>
          <w:szCs w:val="21"/>
        </w:rPr>
        <w:t xml:space="preserve">Inflation Reduction Act Section 22002 appropriated 2,025,450,000 USD in total, being 820,250,000 USD for FY2022 and 180,276,500 USD for each of FY2023 to FY2027, plus a set aside of about 303 to 304 million USD for underutilised renewable technologies, all available until 30 September 2031.</w:t>
      </w:r>
    </w:p>
    <w:p>
      <w:pPr>
        <w:pStyle w:val="ListParagraph"/>
        <w:numPr>
          <w:ilvl w:val="0"/>
          <w:numId w:val="2"/>
        </w:numPr>
        <w:spacing w:after="90"/>
      </w:pPr>
      <w:r>
        <w:rPr>
          <w:sz w:val="21"/>
          <w:szCs w:val="21"/>
        </w:rPr>
        <w:t xml:space="preserve">The Agency was not accepting grant or combined applications from 1 July to 30 September 2025. Guaranteed loans are accepted on an ongoing basis under 7 CFR 5001.315. Authorised by Title IX of the Agriculture Improvement Act of 2018.</w:t>
      </w:r>
    </w:p>
    <w:p>
      <w:pPr>
        <w:pStyle w:val="ListParagraph"/>
        <w:numPr>
          <w:ilvl w:val="0"/>
          <w:numId w:val="2"/>
        </w:numPr>
        <w:spacing w:after="90"/>
      </w:pPr>
      <w:r>
        <w:rPr>
          <w:sz w:val="21"/>
          <w:szCs w:val="21"/>
        </w:rPr>
        <w:t xml:space="preserve">Illinois delivery runs through the USDA Rural Development state office and a REAP Technical Assistance Center at the Illinois Institute for Rural Affairs.</w:t>
      </w:r>
    </w:p>
    <w:p>
      <w:pPr>
        <w:spacing w:after="80" w:before="160"/>
      </w:pPr>
      <w:r>
        <w:rPr>
          <w:b/>
          <w:bCs/>
          <w:sz w:val="21"/>
          <w:szCs w:val="21"/>
        </w:rPr>
        <w:t xml:space="preserve">Greenhouse Gas Reduction Fund</w:t>
      </w:r>
    </w:p>
    <w:p>
      <w:pPr>
        <w:spacing w:after="140"/>
      </w:pPr>
      <w:r>
        <w:rPr>
          <w:sz w:val="21"/>
          <w:szCs w:val="21"/>
        </w:rPr>
        <w:t xml:space="preserve">The Illinois Finance Authority and Illinois Climate Bank is a National Clean Investment Fund subrecipient, through the Coalition for Green Capital 5 billion USD award, with over 100,000,000 USD allocated.</w:t>
      </w:r>
    </w:p>
    <w:p>
      <w:pPr>
        <w:spacing w:after="200" w:before="80"/>
      </w:pPr>
      <w:r>
        <w:rPr>
          <w:i/>
          <w:iCs/>
          <w:color w:val="666666"/>
          <w:sz w:val="17"/>
          <w:szCs w:val="17"/>
        </w:rPr>
        <w:t xml:space="preserve">Source: epa.gov and Governor Pritzker newsroom, 22 July 2024; epa.illinois.gov Climate Pollution Reduction Grants page; epa.gov Chicago MSA Priority Climate Action Plan; rd.usda.gov; iira.org; Inflation Reduction Act Tracker.</w:t>
      </w:r>
    </w:p>
    <w:p>
      <w:r>
        <w:br w:type="page"/>
      </w:r>
    </w:p>
    <w:p>
      <w:pPr>
        <w:pStyle w:val="Heading1"/>
        <w:spacing w:after="160" w:before="380"/>
      </w:pPr>
      <w:r>
        <w:rPr>
          <w:b/>
          <w:bCs/>
          <w:color w:val="222222"/>
          <w:sz w:val="30"/>
          <w:szCs w:val="30"/>
        </w:rPr>
        <w:t xml:space="preserve">14. Northern siting envelope data</w:t>
      </w:r>
    </w:p>
    <w:p>
      <w:pPr>
        <w:spacing w:after="80" w:before="160"/>
      </w:pPr>
      <w:r>
        <w:rPr>
          <w:b/>
          <w:bCs/>
          <w:sz w:val="21"/>
          <w:szCs w:val="21"/>
        </w:rPr>
        <w:t xml:space="preserve">Rainfall</w:t>
      </w:r>
    </w:p>
    <w:p>
      <w:pPr>
        <w:spacing w:after="140"/>
      </w:pPr>
      <w:r>
        <w:rPr>
          <w:sz w:val="21"/>
          <w:szCs w:val="21"/>
        </w:rPr>
        <w:t xml:space="preserve">NOAA 1991 to 2020 climate normals are published by region for the Chicago Area, Northern Illinois, Central Illinois and Southern Illinois through the National Centers for Environmental Information. The greatest recorded one year precipitation in Illinois was 1,894 mm (74.58 in) at New Burnside in 1950. The greatest 24 hour rainfall was 430 mm (16.94 in) at Aurora on 17 and 18 July 1996.</w:t>
      </w:r>
    </w:p>
    <w:p>
      <w:pPr>
        <w:spacing w:after="80" w:before="160"/>
      </w:pPr>
      <w:r>
        <w:rPr>
          <w:b/>
          <w:bCs/>
          <w:sz w:val="21"/>
          <w:szCs w:val="21"/>
        </w:rPr>
        <w:t xml:space="preserve">Degree days</w:t>
      </w:r>
    </w:p>
    <w:p>
      <w:pPr>
        <w:spacing w:after="140"/>
      </w:pPr>
      <w:r>
        <w:rPr>
          <w:sz w:val="21"/>
          <w:szCs w:val="21"/>
        </w:rPr>
        <w:t xml:space="preserve">Illinois average annual heating degree days range from about 7,000 in the north to about 4,000 in the south. Average annual cooling degree days range from about 800 in the north to about 1,600 in the south. Base temperature is 18.3 C (65 F). Chicago 1991 to 2020 daily normals are published by the National Weather Service, running about 38 to 40 heating degree days a day in early January.</w:t>
      </w:r>
    </w:p>
    <w:p>
      <w:pPr>
        <w:spacing w:after="80" w:before="160"/>
      </w:pPr>
      <w:r>
        <w:rPr>
          <w:b/>
          <w:bCs/>
          <w:sz w:val="21"/>
          <w:szCs w:val="21"/>
        </w:rPr>
        <w:t xml:space="preserve">Electricity prices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120"/>
        <w:gridCol w:w="3120"/>
        <w:gridCol w:w="3120"/>
      </w:tblGrid>
      <w:tr>
        <w:trPr>
          <w:tblHeader/>
        </w:trPr>
        <w:tc>
          <w:tcPr>
            <w:tcW w:type="dxa" w:w="3120"/>
            <w:shd w:fill="F2F2F2" w:color="auto" w:val="clear"/>
            <w:tcMar>
              <w:top w:type="dxa" w:w="80"/>
              <w:left w:type="dxa" w:w="110"/>
              <w:bottom w:type="dxa" w:w="80"/>
              <w:right w:type="dxa" w:w="110"/>
            </w:tcMar>
          </w:tcPr>
          <w:p>
            <w:r>
              <w:rPr>
                <w:b/>
                <w:bCs/>
                <w:sz w:val="18"/>
                <w:szCs w:val="18"/>
              </w:rPr>
              <w:t xml:space="preserve">Sector</w:t>
            </w:r>
          </w:p>
        </w:tc>
        <w:tc>
          <w:tcPr>
            <w:tcW w:type="dxa" w:w="3120"/>
            <w:shd w:fill="F2F2F2" w:color="auto" w:val="clear"/>
            <w:tcMar>
              <w:top w:type="dxa" w:w="80"/>
              <w:left w:type="dxa" w:w="110"/>
              <w:bottom w:type="dxa" w:w="80"/>
              <w:right w:type="dxa" w:w="110"/>
            </w:tcMar>
          </w:tcPr>
          <w:p>
            <w:r>
              <w:rPr>
                <w:b/>
                <w:bCs/>
                <w:sz w:val="18"/>
                <w:szCs w:val="18"/>
              </w:rPr>
              <w:t xml:space="preserve">Cents per kWh</w:t>
            </w:r>
          </w:p>
        </w:tc>
        <w:tc>
          <w:tcPr>
            <w:tcW w:type="dxa" w:w="3120"/>
            <w:shd w:fill="F2F2F2" w:color="auto" w:val="clear"/>
            <w:tcMar>
              <w:top w:type="dxa" w:w="80"/>
              <w:left w:type="dxa" w:w="110"/>
              <w:bottom w:type="dxa" w:w="80"/>
              <w:right w:type="dxa" w:w="110"/>
            </w:tcMar>
          </w:tcPr>
          <w:p>
            <w:r>
              <w:rPr>
                <w:b/>
                <w:bCs/>
                <w:sz w:val="18"/>
                <w:szCs w:val="18"/>
              </w:rPr>
              <w:t xml:space="preserve">Period</w:t>
            </w:r>
          </w:p>
        </w:tc>
      </w:tr>
      <w:tr>
        <w:trPr>
          <w:tblHeader w:val="false"/>
        </w:trPr>
        <w:tc>
          <w:tcPr>
            <w:tcW w:type="dxa" w:w="3120"/>
            <w:tcMar>
              <w:top w:type="dxa" w:w="80"/>
              <w:left w:type="dxa" w:w="110"/>
              <w:bottom w:type="dxa" w:w="80"/>
              <w:right w:type="dxa" w:w="110"/>
            </w:tcMar>
          </w:tcPr>
          <w:p>
            <w:r>
              <w:rPr>
                <w:sz w:val="18"/>
                <w:szCs w:val="18"/>
              </w:rPr>
              <w:t xml:space="preserve">Industrial</w:t>
            </w:r>
          </w:p>
        </w:tc>
        <w:tc>
          <w:tcPr>
            <w:tcW w:type="dxa" w:w="3120"/>
            <w:tcMar>
              <w:top w:type="dxa" w:w="80"/>
              <w:left w:type="dxa" w:w="110"/>
              <w:bottom w:type="dxa" w:w="80"/>
              <w:right w:type="dxa" w:w="110"/>
            </w:tcMar>
          </w:tcPr>
          <w:p>
            <w:r>
              <w:rPr>
                <w:sz w:val="18"/>
                <w:szCs w:val="18"/>
              </w:rPr>
              <w:t xml:space="preserve">8.20</w:t>
            </w:r>
          </w:p>
        </w:tc>
        <w:tc>
          <w:tcPr>
            <w:tcW w:type="dxa" w:w="3120"/>
            <w:tcMar>
              <w:top w:type="dxa" w:w="80"/>
              <w:left w:type="dxa" w:w="110"/>
              <w:bottom w:type="dxa" w:w="80"/>
              <w:right w:type="dxa" w:w="110"/>
            </w:tcMar>
          </w:tcPr>
          <w:p>
            <w:r>
              <w:rPr>
                <w:sz w:val="18"/>
                <w:szCs w:val="18"/>
              </w:rPr>
              <w:t xml:space="preserve">2023 average retail price, EIA Table 4</w:t>
            </w:r>
          </w:p>
        </w:tc>
      </w:tr>
      <w:tr>
        <w:trPr>
          <w:tblHeader w:val="false"/>
        </w:trPr>
        <w:tc>
          <w:tcPr>
            <w:tcW w:type="dxa" w:w="3120"/>
            <w:tcMar>
              <w:top w:type="dxa" w:w="80"/>
              <w:left w:type="dxa" w:w="110"/>
              <w:bottom w:type="dxa" w:w="80"/>
              <w:right w:type="dxa" w:w="110"/>
            </w:tcMar>
          </w:tcPr>
          <w:p>
            <w:r>
              <w:rPr>
                <w:sz w:val="18"/>
                <w:szCs w:val="18"/>
              </w:rPr>
              <w:t xml:space="preserve">Commercial</w:t>
            </w:r>
          </w:p>
        </w:tc>
        <w:tc>
          <w:tcPr>
            <w:tcW w:type="dxa" w:w="3120"/>
            <w:tcMar>
              <w:top w:type="dxa" w:w="80"/>
              <w:left w:type="dxa" w:w="110"/>
              <w:bottom w:type="dxa" w:w="80"/>
              <w:right w:type="dxa" w:w="110"/>
            </w:tcMar>
          </w:tcPr>
          <w:p>
            <w:r>
              <w:rPr>
                <w:sz w:val="18"/>
                <w:szCs w:val="18"/>
              </w:rPr>
              <w:t xml:space="preserve">11.24</w:t>
            </w:r>
          </w:p>
        </w:tc>
        <w:tc>
          <w:tcPr>
            <w:tcW w:type="dxa" w:w="3120"/>
            <w:tcMar>
              <w:top w:type="dxa" w:w="80"/>
              <w:left w:type="dxa" w:w="110"/>
              <w:bottom w:type="dxa" w:w="80"/>
              <w:right w:type="dxa" w:w="110"/>
            </w:tcMar>
          </w:tcPr>
          <w:p>
            <w:r>
              <w:rPr>
                <w:sz w:val="18"/>
                <w:szCs w:val="18"/>
              </w:rPr>
              <w:t xml:space="preserve">2023</w:t>
            </w:r>
          </w:p>
        </w:tc>
      </w:tr>
      <w:tr>
        <w:trPr>
          <w:tblHeader w:val="false"/>
        </w:trPr>
        <w:tc>
          <w:tcPr>
            <w:tcW w:type="dxa" w:w="3120"/>
            <w:tcMar>
              <w:top w:type="dxa" w:w="80"/>
              <w:left w:type="dxa" w:w="110"/>
              <w:bottom w:type="dxa" w:w="80"/>
              <w:right w:type="dxa" w:w="110"/>
            </w:tcMar>
          </w:tcPr>
          <w:p>
            <w:r>
              <w:rPr>
                <w:sz w:val="18"/>
                <w:szCs w:val="18"/>
              </w:rPr>
              <w:t xml:space="preserve">Residential</w:t>
            </w:r>
          </w:p>
        </w:tc>
        <w:tc>
          <w:tcPr>
            <w:tcW w:type="dxa" w:w="3120"/>
            <w:tcMar>
              <w:top w:type="dxa" w:w="80"/>
              <w:left w:type="dxa" w:w="110"/>
              <w:bottom w:type="dxa" w:w="80"/>
              <w:right w:type="dxa" w:w="110"/>
            </w:tcMar>
          </w:tcPr>
          <w:p>
            <w:r>
              <w:rPr>
                <w:sz w:val="18"/>
                <w:szCs w:val="18"/>
              </w:rPr>
              <w:t xml:space="preserve">15.71</w:t>
            </w:r>
          </w:p>
        </w:tc>
        <w:tc>
          <w:tcPr>
            <w:tcW w:type="dxa" w:w="3120"/>
            <w:tcMar>
              <w:top w:type="dxa" w:w="80"/>
              <w:left w:type="dxa" w:w="110"/>
              <w:bottom w:type="dxa" w:w="80"/>
              <w:right w:type="dxa" w:w="110"/>
            </w:tcMar>
          </w:tcPr>
          <w:p>
            <w:r>
              <w:rPr>
                <w:sz w:val="18"/>
                <w:szCs w:val="18"/>
              </w:rPr>
              <w:t xml:space="preserve">2023</w:t>
            </w:r>
          </w:p>
        </w:tc>
      </w:tr>
      <w:tr>
        <w:trPr>
          <w:tblHeader w:val="false"/>
        </w:trPr>
        <w:tc>
          <w:tcPr>
            <w:tcW w:type="dxa" w:w="3120"/>
            <w:tcMar>
              <w:top w:type="dxa" w:w="80"/>
              <w:left w:type="dxa" w:w="110"/>
              <w:bottom w:type="dxa" w:w="80"/>
              <w:right w:type="dxa" w:w="110"/>
            </w:tcMar>
          </w:tcPr>
          <w:p>
            <w:r>
              <w:rPr>
                <w:sz w:val="18"/>
                <w:szCs w:val="18"/>
              </w:rPr>
              <w:t xml:space="preserve">All sectors</w:t>
            </w:r>
          </w:p>
        </w:tc>
        <w:tc>
          <w:tcPr>
            <w:tcW w:type="dxa" w:w="3120"/>
            <w:tcMar>
              <w:top w:type="dxa" w:w="80"/>
              <w:left w:type="dxa" w:w="110"/>
              <w:bottom w:type="dxa" w:w="80"/>
              <w:right w:type="dxa" w:w="110"/>
            </w:tcMar>
          </w:tcPr>
          <w:p>
            <w:r>
              <w:rPr>
                <w:sz w:val="18"/>
                <w:szCs w:val="18"/>
              </w:rPr>
              <w:t xml:space="preserve">11.75</w:t>
            </w:r>
          </w:p>
        </w:tc>
        <w:tc>
          <w:tcPr>
            <w:tcW w:type="dxa" w:w="3120"/>
            <w:tcMar>
              <w:top w:type="dxa" w:w="80"/>
              <w:left w:type="dxa" w:w="110"/>
              <w:bottom w:type="dxa" w:w="80"/>
              <w:right w:type="dxa" w:w="110"/>
            </w:tcMar>
          </w:tcPr>
          <w:p>
            <w:r>
              <w:rPr>
                <w:sz w:val="18"/>
                <w:szCs w:val="18"/>
              </w:rPr>
              <w:t xml:space="preserve">2023</w:t>
            </w:r>
          </w:p>
        </w:tc>
      </w:tr>
    </w:tbl>
    <w:p>
      <w:pPr>
        <w:spacing w:after="80" w:before="160"/>
      </w:pPr>
      <w:r>
        <w:rPr>
          <w:b/>
          <w:bCs/>
          <w:sz w:val="21"/>
          <w:szCs w:val="21"/>
        </w:rPr>
        <w:t xml:space="preserve">Natural gas prices</w:t>
      </w:r>
    </w:p>
    <w:p>
      <w:pPr>
        <w:spacing w:after="140"/>
      </w:pPr>
      <w:r>
        <w:rPr>
          <w:sz w:val="21"/>
          <w:szCs w:val="21"/>
        </w:rPr>
        <w:t xml:space="preserve">Illinois industrial price in USD per thousand cubic feet, being per 28.3 cubic metres: 2020 at 4.26, 2021 at 7.57, 2022 at 9.17, 2023 at 7.49, 2024 at 6.54. Release date 31 March 2025.</w:t>
      </w:r>
    </w:p>
    <w:p>
      <w:pPr>
        <w:spacing w:after="140"/>
      </w:pPr>
      <w:r>
        <w:rPr>
          <w:sz w:val="21"/>
          <w:szCs w:val="21"/>
        </w:rPr>
        <w:t xml:space="preserve">Illinois natural gas price sold to electric power consumers, monthly 2025: January 7.19, February 4.39, March 3.71, April 3.15, May 2.88, June 2.98, July 3.14. Release date 30 September 2025.</w:t>
      </w:r>
    </w:p>
    <w:p>
      <w:pPr>
        <w:spacing w:after="140"/>
      </w:pPr>
      <w:r>
        <w:rPr>
          <w:sz w:val="21"/>
          <w:szCs w:val="21"/>
        </w:rPr>
        <w:t xml:space="preserve">Purchased Gas Adjustment supply charges by utility are posted by the Illinois Commerce Commission.</w:t>
      </w:r>
    </w:p>
    <w:p>
      <w:pPr>
        <w:spacing w:after="200" w:before="80"/>
      </w:pPr>
      <w:r>
        <w:rPr>
          <w:i/>
          <w:iCs/>
          <w:color w:val="666666"/>
          <w:sz w:val="17"/>
          <w:szCs w:val="17"/>
        </w:rPr>
        <w:t xml:space="preserve">Source: stateclimatologist.isws.illinois.edu; weather.gov Chicago normals; eia.gov electricity sales revenue price Table 4 and natural gas series; icc.illinois.gov natural gas choice.</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15. Mapped against the MicroLink pipeline</w:t>
      </w:r>
    </w:p>
    <w:p>
      <w:pPr>
        <w:spacing w:after="140"/>
      </w:pPr>
      <w:r>
        <w:rPr>
          <w:sz w:val="21"/>
          <w:szCs w:val="21"/>
        </w:rPr>
        <w:t xml:space="preserve">Illinois carries no named MicroLink site in the current pipeline, so this section maps by structure rather than by project.</w:t>
      </w:r>
    </w:p>
    <w:p>
      <w:pPr>
        <w:pStyle w:val="Heading2"/>
        <w:spacing w:after="120" w:before="280"/>
      </w:pPr>
      <w:r>
        <w:rPr>
          <w:b/>
          <w:bCs/>
          <w:color w:val="B02020"/>
          <w:sz w:val="24"/>
          <w:szCs w:val="24"/>
        </w:rPr>
        <w:t xml:space="preserve">15.1 A compute block with a thermal host</w:t>
      </w:r>
    </w:p>
    <w:p>
      <w:pPr>
        <w:spacing w:after="80" w:before="160"/>
      </w:pPr>
      <w:r>
        <w:rPr>
          <w:b/>
          <w:bCs/>
          <w:sz w:val="21"/>
          <w:szCs w:val="21"/>
        </w:rPr>
        <w:t xml:space="preserve">Instruments that reach this structure</w:t>
      </w:r>
    </w:p>
    <w:p>
      <w:pPr>
        <w:pStyle w:val="ListParagraph"/>
        <w:numPr>
          <w:ilvl w:val="0"/>
          <w:numId w:val="2"/>
        </w:numPr>
        <w:spacing w:after="90"/>
      </w:pPr>
      <w:r>
        <w:rPr>
          <w:sz w:val="21"/>
          <w:szCs w:val="21"/>
        </w:rPr>
        <w:t xml:space="preserve">C-PACE, where heat recovery qualifies as an energy efficiency measure, at up to 100 per cent of improvement cost under the Illinois Energy Conservation Authority framing, with terms to 30 years in Chicago and to 20 years per Cook County launch materials.</w:t>
      </w:r>
    </w:p>
    <w:p>
      <w:pPr>
        <w:pStyle w:val="ListParagraph"/>
        <w:numPr>
          <w:ilvl w:val="0"/>
          <w:numId w:val="2"/>
        </w:numPr>
        <w:spacing w:after="90"/>
      </w:pPr>
      <w:r>
        <w:rPr>
          <w:sz w:val="21"/>
          <w:szCs w:val="21"/>
        </w:rPr>
        <w:t xml:space="preserve">Section 8-103B custom incentives on verified first year electric savings, with the Distressed and Select Communities adder at 20 to 30 per cent and the Made in Illinois adder at 10 per cent where at least half the equipment is manufactured or assembled in Illinois.</w:t>
      </w:r>
    </w:p>
    <w:p>
      <w:pPr>
        <w:pStyle w:val="ListParagraph"/>
        <w:numPr>
          <w:ilvl w:val="0"/>
          <w:numId w:val="2"/>
        </w:numPr>
        <w:spacing w:after="90"/>
      </w:pPr>
      <w:r>
        <w:rPr>
          <w:sz w:val="21"/>
          <w:szCs w:val="21"/>
        </w:rPr>
        <w:t xml:space="preserve">The Illinois Climate Bank, whose clean energy financing and State Small Business Credit Initiative green business channel run through enrolled financial institutions.</w:t>
      </w:r>
    </w:p>
    <w:p>
      <w:pPr>
        <w:pStyle w:val="ListParagraph"/>
        <w:numPr>
          <w:ilvl w:val="0"/>
          <w:numId w:val="2"/>
        </w:numPr>
        <w:spacing w:after="90"/>
      </w:pPr>
      <w:r>
        <w:rPr>
          <w:sz w:val="21"/>
          <w:szCs w:val="21"/>
        </w:rPr>
        <w:t xml:space="preserve">Enterprise Zone or River Edge Redevelopment Zone status where the site sits inside one, carrying the building materials sales tax exemption and the Blue Collar Jobs Act construction credit at 10,000,000 USD in an Enterprise Zone or 1,000,000 USD in a River Edge zone.</w:t>
      </w:r>
    </w:p>
    <w:p>
      <w:pPr>
        <w:spacing w:after="80" w:before="160"/>
      </w:pPr>
      <w:r>
        <w:rPr>
          <w:b/>
          <w:bCs/>
          <w:sz w:val="21"/>
          <w:szCs w:val="21"/>
        </w:rPr>
        <w:t xml:space="preserve">Conditions on record</w:t>
      </w:r>
    </w:p>
    <w:p>
      <w:pPr>
        <w:pStyle w:val="ListParagraph"/>
        <w:numPr>
          <w:ilvl w:val="0"/>
          <w:numId w:val="2"/>
        </w:numPr>
        <w:spacing w:after="90"/>
      </w:pPr>
      <w:r>
        <w:rPr>
          <w:sz w:val="21"/>
          <w:szCs w:val="21"/>
        </w:rPr>
        <w:t xml:space="preserve">The Data Center Investment Program is closed to new applications from 1 July 2026, with certificates and collocation continuing to 1 July 2029.</w:t>
      </w:r>
    </w:p>
    <w:p>
      <w:pPr>
        <w:pStyle w:val="ListParagraph"/>
        <w:numPr>
          <w:ilvl w:val="0"/>
          <w:numId w:val="2"/>
        </w:numPr>
        <w:spacing w:after="90"/>
      </w:pPr>
      <w:r>
        <w:rPr>
          <w:sz w:val="21"/>
          <w:szCs w:val="21"/>
        </w:rPr>
        <w:t xml:space="preserve">At 50 MW or more, the ComEd deposit schedule applies, starting at 1,000,000 USD.</w:t>
      </w:r>
    </w:p>
    <w:p>
      <w:pPr>
        <w:pStyle w:val="ListParagraph"/>
        <w:numPr>
          <w:ilvl w:val="0"/>
          <w:numId w:val="2"/>
        </w:numPr>
        <w:spacing w:after="90"/>
      </w:pPr>
      <w:r>
        <w:rPr>
          <w:sz w:val="21"/>
          <w:szCs w:val="21"/>
        </w:rPr>
        <w:t xml:space="preserve">Where efficiency is stated, PUE is reported with ERE alongside it, and the architecture keeps the dry cooler path visible.</w:t>
      </w:r>
    </w:p>
    <w:p>
      <w:pPr>
        <w:pStyle w:val="Heading2"/>
        <w:spacing w:after="120" w:before="280"/>
      </w:pPr>
      <w:r>
        <w:rPr>
          <w:b/>
          <w:bCs/>
          <w:color w:val="B02020"/>
          <w:sz w:val="24"/>
          <w:szCs w:val="24"/>
        </w:rPr>
        <w:t xml:space="preserve">15.2 The distributed and edge model</w:t>
      </w:r>
    </w:p>
    <w:p>
      <w:pPr>
        <w:pStyle w:val="ListParagraph"/>
        <w:numPr>
          <w:ilvl w:val="0"/>
          <w:numId w:val="2"/>
        </w:numPr>
        <w:spacing w:after="90"/>
      </w:pPr>
      <w:r>
        <w:rPr>
          <w:sz w:val="21"/>
          <w:szCs w:val="21"/>
        </w:rPr>
        <w:t xml:space="preserve">Units below 50 MW sit under the ComEd Large Demand Project Applicant or Customer threshold and outside the deposit schedule.</w:t>
      </w:r>
    </w:p>
    <w:p>
      <w:pPr>
        <w:pStyle w:val="ListParagraph"/>
        <w:numPr>
          <w:ilvl w:val="0"/>
          <w:numId w:val="2"/>
        </w:numPr>
        <w:spacing w:after="90"/>
      </w:pPr>
      <w:r>
        <w:rPr>
          <w:sz w:val="21"/>
          <w:szCs w:val="21"/>
        </w:rPr>
        <w:t xml:space="preserve">Section 8-103B and 8-104 incentives apply per site through the relevant utility, being ComEd or Ameren Illinois for electric, and Nicor, Peoples, North Shore or Ameren for gas.</w:t>
      </w:r>
    </w:p>
    <w:p>
      <w:pPr>
        <w:pStyle w:val="ListParagraph"/>
        <w:numPr>
          <w:ilvl w:val="0"/>
          <w:numId w:val="2"/>
        </w:numPr>
        <w:spacing w:after="90"/>
      </w:pPr>
      <w:r>
        <w:rPr>
          <w:sz w:val="21"/>
          <w:szCs w:val="21"/>
        </w:rPr>
        <w:t xml:space="preserve">The K-12 adder under ComEd runs at 20 per cent, and the Distressed and Select Communities adder at 20 to 30 per cent.</w:t>
      </w:r>
    </w:p>
    <w:p>
      <w:pPr>
        <w:pStyle w:val="ListParagraph"/>
        <w:numPr>
          <w:ilvl w:val="0"/>
          <w:numId w:val="2"/>
        </w:numPr>
        <w:spacing w:after="90"/>
      </w:pPr>
      <w:r>
        <w:rPr>
          <w:sz w:val="21"/>
          <w:szCs w:val="21"/>
        </w:rPr>
        <w:t xml:space="preserve">Equity Investment Eligible Community designation under the Climate and Equitable Jobs Act carries utility bonuses and defines the Equitable Energy Future Grant population.</w:t>
      </w:r>
    </w:p>
    <w:p>
      <w:pPr>
        <w:pStyle w:val="Heading2"/>
        <w:spacing w:after="120" w:before="280"/>
      </w:pPr>
      <w:r>
        <w:rPr>
          <w:b/>
          <w:bCs/>
          <w:color w:val="B02020"/>
          <w:sz w:val="24"/>
          <w:szCs w:val="24"/>
        </w:rPr>
        <w:t xml:space="preserve">15.3 The Water Neutral campus in an Illinois siting</w:t>
      </w:r>
    </w:p>
    <w:p>
      <w:pPr>
        <w:pStyle w:val="ListParagraph"/>
        <w:numPr>
          <w:ilvl w:val="0"/>
          <w:numId w:val="2"/>
        </w:numPr>
        <w:spacing w:after="90"/>
      </w:pPr>
      <w:r>
        <w:rPr>
          <w:sz w:val="21"/>
          <w:szCs w:val="21"/>
        </w:rPr>
        <w:t xml:space="preserve">Rainfall and degree day data in section 14 place northern Illinois inside the northern envelope the campus design targets, at about 7,000 heating degree days.</w:t>
      </w:r>
    </w:p>
    <w:p>
      <w:pPr>
        <w:pStyle w:val="ListParagraph"/>
        <w:numPr>
          <w:ilvl w:val="0"/>
          <w:numId w:val="2"/>
        </w:numPr>
        <w:spacing w:after="90"/>
      </w:pPr>
      <w:r>
        <w:rPr>
          <w:sz w:val="21"/>
          <w:szCs w:val="21"/>
        </w:rPr>
        <w:t xml:space="preserve">Harvested rainwater serving fertigation, toilet flushing and fire reserve falls within the approved onsite non potable reuse categories, subject to the Illinois Plumbing Code and Illinois Department of Public Health standards.</w:t>
      </w:r>
    </w:p>
    <w:p>
      <w:pPr>
        <w:pStyle w:val="ListParagraph"/>
        <w:numPr>
          <w:ilvl w:val="0"/>
          <w:numId w:val="2"/>
        </w:numPr>
        <w:spacing w:after="90"/>
      </w:pPr>
      <w:r>
        <w:rPr>
          <w:sz w:val="21"/>
          <w:szCs w:val="21"/>
        </w:rPr>
        <w:t xml:space="preserve">Sites above 0.2 ha (0.5 acre) inside the MWRD area fall under the Watershed Management Ordinance stormwater retention requirements.</w:t>
      </w:r>
    </w:p>
    <w:p>
      <w:pPr>
        <w:pStyle w:val="ListParagraph"/>
        <w:numPr>
          <w:ilvl w:val="0"/>
          <w:numId w:val="2"/>
        </w:numPr>
        <w:spacing w:after="90"/>
      </w:pPr>
      <w:r>
        <w:rPr>
          <w:sz w:val="21"/>
          <w:szCs w:val="21"/>
        </w:rPr>
        <w:t xml:space="preserve">Illinois EPA State Revolving Fund covers stormwater under the Water Pollution Control Loan Program, with Green Project Reserve components eligible for principal forgiveness and a 31 March nomination date.</w:t>
      </w:r>
    </w:p>
    <w:p>
      <w:pPr>
        <w:pStyle w:val="ListParagraph"/>
        <w:numPr>
          <w:ilvl w:val="0"/>
          <w:numId w:val="2"/>
        </w:numPr>
        <w:spacing w:after="90"/>
      </w:pPr>
      <w:r>
        <w:rPr>
          <w:sz w:val="21"/>
          <w:szCs w:val="21"/>
        </w:rPr>
        <w:t xml:space="preserve">C-PACE covers water conservation as an eligible measure category.</w:t>
      </w:r>
    </w:p>
    <w:p>
      <w:pPr>
        <w:pStyle w:val="Heading2"/>
        <w:spacing w:after="120" w:before="280"/>
      </w:pPr>
      <w:r>
        <w:rPr>
          <w:b/>
          <w:bCs/>
          <w:color w:val="B02020"/>
          <w:sz w:val="24"/>
          <w:szCs w:val="24"/>
        </w:rPr>
        <w:t xml:space="preserve">15.4 A thermal offtake to a district system</w:t>
      </w:r>
    </w:p>
    <w:p>
      <w:pPr>
        <w:pStyle w:val="ListParagraph"/>
        <w:numPr>
          <w:ilvl w:val="0"/>
          <w:numId w:val="2"/>
        </w:numPr>
        <w:spacing w:after="90"/>
      </w:pPr>
      <w:r>
        <w:rPr>
          <w:sz w:val="21"/>
          <w:szCs w:val="21"/>
        </w:rPr>
        <w:t xml:space="preserve">The Illinois Commerce Commission Thermal Energy Network Report names data centers as a leading waste heat source and the Chicago district cooling system as an expansion opportunity for recovering surplus data center energy for district heating.</w:t>
      </w:r>
    </w:p>
    <w:p>
      <w:pPr>
        <w:pStyle w:val="ListParagraph"/>
        <w:numPr>
          <w:ilvl w:val="0"/>
          <w:numId w:val="2"/>
        </w:numPr>
        <w:spacing w:after="90"/>
      </w:pPr>
      <w:r>
        <w:rPr>
          <w:sz w:val="21"/>
          <w:szCs w:val="21"/>
        </w:rPr>
        <w:t xml:space="preserve">The report recommends incentivising deployment by non utility providers, and separately providing for regulated utilities to offer thermal energy networks.</w:t>
      </w:r>
    </w:p>
    <w:p>
      <w:pPr>
        <w:pStyle w:val="ListParagraph"/>
        <w:numPr>
          <w:ilvl w:val="0"/>
          <w:numId w:val="2"/>
        </w:numPr>
        <w:spacing w:after="90"/>
      </w:pPr>
      <w:r>
        <w:rPr>
          <w:sz w:val="21"/>
          <w:szCs w:val="21"/>
        </w:rPr>
        <w:t xml:space="preserve">CenTrio operates the Chicago system with electric chillers and Chicago River heat rejection at two of five distribution plants and one satellite plant.</w:t>
      </w:r>
    </w:p>
    <w:p>
      <w:pPr>
        <w:pStyle w:val="ListParagraph"/>
        <w:numPr>
          <w:ilvl w:val="0"/>
          <w:numId w:val="2"/>
        </w:numPr>
        <w:spacing w:after="90"/>
      </w:pPr>
      <w:r>
        <w:rPr>
          <w:sz w:val="21"/>
          <w:szCs w:val="21"/>
        </w:rPr>
        <w:t xml:space="preserve">No thermal energy network incentive programme has been enacted. The Public Act 103-0580 route produced a report and recommendations, and House Bill 2875 which would have mandated utility pilots was not the enacted path.</w:t>
      </w:r>
    </w:p>
    <w:p>
      <w:pPr>
        <w:pStyle w:val="Heading2"/>
        <w:spacing w:after="120" w:before="280"/>
      </w:pPr>
      <w:r>
        <w:rPr>
          <w:b/>
          <w:bCs/>
          <w:color w:val="B02020"/>
          <w:sz w:val="24"/>
          <w:szCs w:val="24"/>
        </w:rPr>
        <w:t xml:space="preserve">15.5 A publicly owned treatment works as a thermal counterparty</w:t>
      </w:r>
    </w:p>
    <w:p>
      <w:pPr>
        <w:pStyle w:val="ListParagraph"/>
        <w:numPr>
          <w:ilvl w:val="0"/>
          <w:numId w:val="2"/>
        </w:numPr>
        <w:spacing w:after="90"/>
      </w:pPr>
      <w:r>
        <w:rPr>
          <w:sz w:val="21"/>
          <w:szCs w:val="21"/>
        </w:rPr>
        <w:t xml:space="preserve">The procurement route is the sanitary district statutory procurement authority and board approval process, under the Metropolitan Water Reclamation District Act for MWRD and the Sanitary District Act framework elsewhere.</w:t>
      </w:r>
    </w:p>
    <w:p>
      <w:pPr>
        <w:pStyle w:val="ListParagraph"/>
        <w:numPr>
          <w:ilvl w:val="0"/>
          <w:numId w:val="2"/>
        </w:numPr>
        <w:spacing w:after="90"/>
      </w:pPr>
      <w:r>
        <w:rPr>
          <w:sz w:val="21"/>
          <w:szCs w:val="21"/>
        </w:rPr>
        <w:t xml:space="preserve">Illinois EPA issues the National Pollutant Discharge Elimination System permits.</w:t>
      </w:r>
    </w:p>
    <w:p>
      <w:pPr>
        <w:pStyle w:val="ListParagraph"/>
        <w:numPr>
          <w:ilvl w:val="0"/>
          <w:numId w:val="2"/>
        </w:numPr>
        <w:spacing w:after="90"/>
      </w:pPr>
      <w:r>
        <w:rPr>
          <w:sz w:val="21"/>
          <w:szCs w:val="21"/>
        </w:rPr>
        <w:t xml:space="preserve">This note contains no statement of affiliation, partnership, endorsement or integration with any named district or plant.</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16. Access points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120"/>
        <w:gridCol w:w="6240"/>
      </w:tblGrid>
      <w:tr>
        <w:trPr>
          <w:tblHeader/>
        </w:trPr>
        <w:tc>
          <w:tcPr>
            <w:tcW w:type="dxa" w:w="3120"/>
            <w:shd w:fill="F2F2F2" w:color="auto" w:val="clear"/>
            <w:tcMar>
              <w:top w:type="dxa" w:w="80"/>
              <w:left w:type="dxa" w:w="110"/>
              <w:bottom w:type="dxa" w:w="80"/>
              <w:right w:type="dxa" w:w="110"/>
            </w:tcMar>
          </w:tcPr>
          <w:p>
            <w:r>
              <w:rPr>
                <w:b/>
                <w:bCs/>
                <w:sz w:val="18"/>
                <w:szCs w:val="18"/>
              </w:rPr>
              <w:t xml:space="preserve">Route</w:t>
            </w:r>
          </w:p>
        </w:tc>
        <w:tc>
          <w:tcPr>
            <w:tcW w:type="dxa" w:w="6240"/>
            <w:shd w:fill="F2F2F2" w:color="auto" w:val="clear"/>
            <w:tcMar>
              <w:top w:type="dxa" w:w="80"/>
              <w:left w:type="dxa" w:w="110"/>
              <w:bottom w:type="dxa" w:w="80"/>
              <w:right w:type="dxa" w:w="110"/>
            </w:tcMar>
          </w:tcPr>
          <w:p>
            <w:r>
              <w:rPr>
                <w:b/>
                <w:bCs/>
                <w:sz w:val="18"/>
                <w:szCs w:val="18"/>
              </w:rPr>
              <w:t xml:space="preserve">Detail</w:t>
            </w:r>
          </w:p>
        </w:tc>
      </w:tr>
      <w:tr>
        <w:trPr>
          <w:tblHeader w:val="false"/>
        </w:trPr>
        <w:tc>
          <w:tcPr>
            <w:tcW w:type="dxa" w:w="3120"/>
            <w:tcMar>
              <w:top w:type="dxa" w:w="80"/>
              <w:left w:type="dxa" w:w="110"/>
              <w:bottom w:type="dxa" w:w="80"/>
              <w:right w:type="dxa" w:w="110"/>
            </w:tcMar>
          </w:tcPr>
          <w:p>
            <w:r>
              <w:rPr>
                <w:sz w:val="18"/>
                <w:szCs w:val="18"/>
              </w:rPr>
              <w:t xml:space="preserve">Data Center Investment Program</w:t>
            </w:r>
          </w:p>
        </w:tc>
        <w:tc>
          <w:tcPr>
            <w:tcW w:type="dxa" w:w="6240"/>
            <w:tcMar>
              <w:top w:type="dxa" w:w="80"/>
              <w:left w:type="dxa" w:w="110"/>
              <w:bottom w:type="dxa" w:w="80"/>
              <w:right w:type="dxa" w:w="110"/>
            </w:tcMar>
          </w:tcPr>
          <w:p>
            <w:r>
              <w:rPr>
                <w:sz w:val="18"/>
                <w:szCs w:val="18"/>
              </w:rPr>
              <w:t xml:space="preserve">dceo.illinois.gov expandrelocate incentives datacenters. CEO.Datacenters@Illinois.gov</w:t>
            </w:r>
          </w:p>
        </w:tc>
      </w:tr>
      <w:tr>
        <w:trPr>
          <w:tblHeader w:val="false"/>
        </w:trPr>
        <w:tc>
          <w:tcPr>
            <w:tcW w:type="dxa" w:w="3120"/>
            <w:tcMar>
              <w:top w:type="dxa" w:w="80"/>
              <w:left w:type="dxa" w:w="110"/>
              <w:bottom w:type="dxa" w:w="80"/>
              <w:right w:type="dxa" w:w="110"/>
            </w:tcMar>
          </w:tcPr>
          <w:p>
            <w:r>
              <w:rPr>
                <w:sz w:val="18"/>
                <w:szCs w:val="18"/>
              </w:rPr>
              <w:t xml:space="preserve">ICC dockets</w:t>
            </w:r>
          </w:p>
        </w:tc>
        <w:tc>
          <w:tcPr>
            <w:tcW w:type="dxa" w:w="6240"/>
            <w:tcMar>
              <w:top w:type="dxa" w:w="80"/>
              <w:left w:type="dxa" w:w="110"/>
              <w:bottom w:type="dxa" w:w="80"/>
              <w:right w:type="dxa" w:w="110"/>
            </w:tcMar>
          </w:tcPr>
          <w:p>
            <w:r>
              <w:rPr>
                <w:sz w:val="18"/>
                <w:szCs w:val="18"/>
              </w:rPr>
              <w:t xml:space="preserve">icc.illinois.gov. Large load 25-0677 and 25-0679 consolidated. Nicor efficiency P2025-0209. Co-located load 22-0486 and 23-0055</w:t>
            </w:r>
          </w:p>
        </w:tc>
      </w:tr>
      <w:tr>
        <w:trPr>
          <w:tblHeader w:val="false"/>
        </w:trPr>
        <w:tc>
          <w:tcPr>
            <w:tcW w:type="dxa" w:w="3120"/>
            <w:tcMar>
              <w:top w:type="dxa" w:w="80"/>
              <w:left w:type="dxa" w:w="110"/>
              <w:bottom w:type="dxa" w:w="80"/>
              <w:right w:type="dxa" w:w="110"/>
            </w:tcMar>
          </w:tcPr>
          <w:p>
            <w:r>
              <w:rPr>
                <w:sz w:val="18"/>
                <w:szCs w:val="18"/>
              </w:rPr>
              <w:t xml:space="preserve">Utility efficiency</w:t>
            </w:r>
          </w:p>
        </w:tc>
        <w:tc>
          <w:tcPr>
            <w:tcW w:type="dxa" w:w="6240"/>
            <w:tcMar>
              <w:top w:type="dxa" w:w="80"/>
              <w:left w:type="dxa" w:w="110"/>
              <w:bottom w:type="dxa" w:w="80"/>
              <w:right w:type="dxa" w:w="110"/>
            </w:tcMar>
          </w:tcPr>
          <w:p>
            <w:r>
              <w:rPr>
                <w:sz w:val="18"/>
                <w:szCs w:val="18"/>
              </w:rPr>
              <w:t xml:space="preserve">ilsag.info for plans and the Illinois Stakeholder Advisory Group process</w:t>
            </w:r>
          </w:p>
        </w:tc>
      </w:tr>
      <w:tr>
        <w:trPr>
          <w:tblHeader w:val="false"/>
        </w:trPr>
        <w:tc>
          <w:tcPr>
            <w:tcW w:type="dxa" w:w="3120"/>
            <w:tcMar>
              <w:top w:type="dxa" w:w="80"/>
              <w:left w:type="dxa" w:w="110"/>
              <w:bottom w:type="dxa" w:w="80"/>
              <w:right w:type="dxa" w:w="110"/>
            </w:tcMar>
          </w:tcPr>
          <w:p>
            <w:r>
              <w:rPr>
                <w:sz w:val="18"/>
                <w:szCs w:val="18"/>
              </w:rPr>
              <w:t xml:space="preserve">C-PACE</w:t>
            </w:r>
          </w:p>
        </w:tc>
        <w:tc>
          <w:tcPr>
            <w:tcW w:type="dxa" w:w="6240"/>
            <w:tcMar>
              <w:top w:type="dxa" w:w="80"/>
              <w:left w:type="dxa" w:w="110"/>
              <w:bottom w:type="dxa" w:w="80"/>
              <w:right w:type="dxa" w:w="110"/>
            </w:tcMar>
          </w:tcPr>
          <w:p>
            <w:r>
              <w:rPr>
                <w:sz w:val="18"/>
                <w:szCs w:val="18"/>
              </w:rPr>
              <w:t xml:space="preserve">il-fa.com PACE programme, C-PACE Open Market Initiative, Illinois Energy Conservation Authority NFP, and the City of Chicago programme</w:t>
            </w:r>
          </w:p>
        </w:tc>
      </w:tr>
      <w:tr>
        <w:trPr>
          <w:tblHeader w:val="false"/>
        </w:trPr>
        <w:tc>
          <w:tcPr>
            <w:tcW w:type="dxa" w:w="3120"/>
            <w:tcMar>
              <w:top w:type="dxa" w:w="80"/>
              <w:left w:type="dxa" w:w="110"/>
              <w:bottom w:type="dxa" w:w="80"/>
              <w:right w:type="dxa" w:w="110"/>
            </w:tcMar>
          </w:tcPr>
          <w:p>
            <w:r>
              <w:rPr>
                <w:sz w:val="18"/>
                <w:szCs w:val="18"/>
              </w:rPr>
              <w:t xml:space="preserve">Illinois Climate Bank</w:t>
            </w:r>
          </w:p>
        </w:tc>
        <w:tc>
          <w:tcPr>
            <w:tcW w:type="dxa" w:w="6240"/>
            <w:tcMar>
              <w:top w:type="dxa" w:w="80"/>
              <w:left w:type="dxa" w:w="110"/>
              <w:bottom w:type="dxa" w:w="80"/>
              <w:right w:type="dxa" w:w="110"/>
            </w:tcMar>
          </w:tcPr>
          <w:p>
            <w:r>
              <w:rPr>
                <w:sz w:val="18"/>
                <w:szCs w:val="18"/>
              </w:rPr>
              <w:t xml:space="preserve">illinoisclimatebank.com and il-fa.com</w:t>
            </w:r>
          </w:p>
        </w:tc>
      </w:tr>
      <w:tr>
        <w:trPr>
          <w:tblHeader w:val="false"/>
        </w:trPr>
        <w:tc>
          <w:tcPr>
            <w:tcW w:type="dxa" w:w="3120"/>
            <w:tcMar>
              <w:top w:type="dxa" w:w="80"/>
              <w:left w:type="dxa" w:w="110"/>
              <w:bottom w:type="dxa" w:w="80"/>
              <w:right w:type="dxa" w:w="110"/>
            </w:tcMar>
          </w:tcPr>
          <w:p>
            <w:r>
              <w:rPr>
                <w:sz w:val="18"/>
                <w:szCs w:val="18"/>
              </w:rPr>
              <w:t xml:space="preserve">Illinois EPA grants and loans</w:t>
            </w:r>
          </w:p>
        </w:tc>
        <w:tc>
          <w:tcPr>
            <w:tcW w:type="dxa" w:w="6240"/>
            <w:tcMar>
              <w:top w:type="dxa" w:w="80"/>
              <w:left w:type="dxa" w:w="110"/>
              <w:bottom w:type="dxa" w:w="80"/>
              <w:right w:type="dxa" w:w="110"/>
            </w:tcMar>
          </w:tcPr>
          <w:p>
            <w:r>
              <w:rPr>
                <w:sz w:val="18"/>
                <w:szCs w:val="18"/>
              </w:rPr>
              <w:t xml:space="preserve">epa.illinois.gov topics grants-loans, and the State Revolving Fund page</w:t>
            </w:r>
          </w:p>
        </w:tc>
      </w:tr>
      <w:tr>
        <w:trPr>
          <w:tblHeader w:val="false"/>
        </w:trPr>
        <w:tc>
          <w:tcPr>
            <w:tcW w:type="dxa" w:w="3120"/>
            <w:tcMar>
              <w:top w:type="dxa" w:w="80"/>
              <w:left w:type="dxa" w:w="110"/>
              <w:bottom w:type="dxa" w:w="80"/>
              <w:right w:type="dxa" w:w="110"/>
            </w:tcMar>
          </w:tcPr>
          <w:p>
            <w:r>
              <w:rPr>
                <w:sz w:val="18"/>
                <w:szCs w:val="18"/>
              </w:rPr>
              <w:t xml:space="preserve">DCEO incentives</w:t>
            </w:r>
          </w:p>
        </w:tc>
        <w:tc>
          <w:tcPr>
            <w:tcW w:type="dxa" w:w="6240"/>
            <w:tcMar>
              <w:top w:type="dxa" w:w="80"/>
              <w:left w:type="dxa" w:w="110"/>
              <w:bottom w:type="dxa" w:w="80"/>
              <w:right w:type="dxa" w:w="110"/>
            </w:tcMar>
          </w:tcPr>
          <w:p>
            <w:r>
              <w:rPr>
                <w:sz w:val="18"/>
                <w:szCs w:val="18"/>
              </w:rPr>
              <w:t xml:space="preserve">dceo.illinois.gov expandrelocate incentives taxassistance for Enterprise Zone, River Edge, High Impact Business, REV and EDGE</w:t>
            </w:r>
          </w:p>
        </w:tc>
      </w:tr>
      <w:tr>
        <w:trPr>
          <w:tblHeader w:val="false"/>
        </w:trPr>
        <w:tc>
          <w:tcPr>
            <w:tcW w:type="dxa" w:w="3120"/>
            <w:tcMar>
              <w:top w:type="dxa" w:w="80"/>
              <w:left w:type="dxa" w:w="110"/>
              <w:bottom w:type="dxa" w:w="80"/>
              <w:right w:type="dxa" w:w="110"/>
            </w:tcMar>
          </w:tcPr>
          <w:p>
            <w:r>
              <w:rPr>
                <w:sz w:val="18"/>
                <w:szCs w:val="18"/>
              </w:rPr>
              <w:t xml:space="preserve">Thermal energy networks</w:t>
            </w:r>
          </w:p>
        </w:tc>
        <w:tc>
          <w:tcPr>
            <w:tcW w:type="dxa" w:w="6240"/>
            <w:tcMar>
              <w:top w:type="dxa" w:w="80"/>
              <w:left w:type="dxa" w:w="110"/>
              <w:bottom w:type="dxa" w:w="80"/>
              <w:right w:type="dxa" w:w="110"/>
            </w:tcMar>
          </w:tcPr>
          <w:p>
            <w:r>
              <w:rPr>
                <w:sz w:val="18"/>
                <w:szCs w:val="18"/>
              </w:rPr>
              <w:t xml:space="preserve">ilga.gov Thermal Energy Network Report 2024, and icc.illinois.gov Future of Gas materials</w:t>
            </w:r>
          </w:p>
        </w:tc>
      </w:tr>
      <w:tr>
        <w:trPr>
          <w:tblHeader w:val="false"/>
        </w:trPr>
        <w:tc>
          <w:tcPr>
            <w:tcW w:type="dxa" w:w="3120"/>
            <w:tcMar>
              <w:top w:type="dxa" w:w="80"/>
              <w:left w:type="dxa" w:w="110"/>
              <w:bottom w:type="dxa" w:w="80"/>
              <w:right w:type="dxa" w:w="110"/>
            </w:tcMar>
          </w:tcPr>
          <w:p>
            <w:r>
              <w:rPr>
                <w:sz w:val="18"/>
                <w:szCs w:val="18"/>
              </w:rPr>
              <w:t xml:space="preserve">Agriculture</w:t>
            </w:r>
          </w:p>
        </w:tc>
        <w:tc>
          <w:tcPr>
            <w:tcW w:type="dxa" w:w="6240"/>
            <w:tcMar>
              <w:top w:type="dxa" w:w="80"/>
              <w:left w:type="dxa" w:w="110"/>
              <w:bottom w:type="dxa" w:w="80"/>
              <w:right w:type="dxa" w:w="110"/>
            </w:tcMar>
          </w:tcPr>
          <w:p>
            <w:r>
              <w:rPr>
                <w:sz w:val="18"/>
                <w:szCs w:val="18"/>
              </w:rPr>
              <w:t xml:space="preserve">agr.illinois.gov assistance grant-programs, and illinoislfig.org</w:t>
            </w:r>
          </w:p>
        </w:tc>
      </w:tr>
      <w:tr>
        <w:trPr>
          <w:tblHeader w:val="false"/>
        </w:trPr>
        <w:tc>
          <w:tcPr>
            <w:tcW w:type="dxa" w:w="3120"/>
            <w:tcMar>
              <w:top w:type="dxa" w:w="80"/>
              <w:left w:type="dxa" w:w="110"/>
              <w:bottom w:type="dxa" w:w="80"/>
              <w:right w:type="dxa" w:w="110"/>
            </w:tcMar>
          </w:tcPr>
          <w:p>
            <w:r>
              <w:rPr>
                <w:sz w:val="18"/>
                <w:szCs w:val="18"/>
              </w:rPr>
              <w:t xml:space="preserve">Climate Pollution Reduction Grants</w:t>
            </w:r>
          </w:p>
        </w:tc>
        <w:tc>
          <w:tcPr>
            <w:tcW w:type="dxa" w:w="6240"/>
            <w:tcMar>
              <w:top w:type="dxa" w:w="80"/>
              <w:left w:type="dxa" w:w="110"/>
              <w:bottom w:type="dxa" w:w="80"/>
              <w:right w:type="dxa" w:w="110"/>
            </w:tcMar>
          </w:tcPr>
          <w:p>
            <w:r>
              <w:rPr>
                <w:sz w:val="18"/>
                <w:szCs w:val="18"/>
              </w:rPr>
              <w:t xml:space="preserve">epa.illinois.gov topics climate climate-pollution-reduction-grants</w:t>
            </w:r>
          </w:p>
        </w:tc>
      </w:tr>
      <w:tr>
        <w:trPr>
          <w:tblHeader w:val="false"/>
        </w:trPr>
        <w:tc>
          <w:tcPr>
            <w:tcW w:type="dxa" w:w="3120"/>
            <w:tcMar>
              <w:top w:type="dxa" w:w="80"/>
              <w:left w:type="dxa" w:w="110"/>
              <w:bottom w:type="dxa" w:w="80"/>
              <w:right w:type="dxa" w:w="110"/>
            </w:tcMar>
          </w:tcPr>
          <w:p>
            <w:r>
              <w:rPr>
                <w:sz w:val="18"/>
                <w:szCs w:val="18"/>
              </w:rPr>
              <w:t xml:space="preserve">USDA REAP in Illinois</w:t>
            </w:r>
          </w:p>
        </w:tc>
        <w:tc>
          <w:tcPr>
            <w:tcW w:type="dxa" w:w="6240"/>
            <w:tcMar>
              <w:top w:type="dxa" w:w="80"/>
              <w:left w:type="dxa" w:w="110"/>
              <w:bottom w:type="dxa" w:w="80"/>
              <w:right w:type="dxa" w:w="110"/>
            </w:tcMar>
          </w:tcPr>
          <w:p>
            <w:r>
              <w:rPr>
                <w:sz w:val="18"/>
                <w:szCs w:val="18"/>
              </w:rPr>
              <w:t xml:space="preserve">rd.usda.gov, and the technical assistance centre at iira.org</w:t>
            </w:r>
          </w:p>
        </w:tc>
      </w:tr>
      <w:tr>
        <w:trPr>
          <w:tblHeader w:val="false"/>
        </w:trPr>
        <w:tc>
          <w:tcPr>
            <w:tcW w:type="dxa" w:w="3120"/>
            <w:tcMar>
              <w:top w:type="dxa" w:w="80"/>
              <w:left w:type="dxa" w:w="110"/>
              <w:bottom w:type="dxa" w:w="80"/>
              <w:right w:type="dxa" w:w="110"/>
            </w:tcMar>
          </w:tcPr>
          <w:p>
            <w:r>
              <w:rPr>
                <w:sz w:val="18"/>
                <w:szCs w:val="18"/>
              </w:rPr>
              <w:t xml:space="preserve">Climate and price data</w:t>
            </w:r>
          </w:p>
        </w:tc>
        <w:tc>
          <w:tcPr>
            <w:tcW w:type="dxa" w:w="6240"/>
            <w:tcMar>
              <w:top w:type="dxa" w:w="80"/>
              <w:left w:type="dxa" w:w="110"/>
              <w:bottom w:type="dxa" w:w="80"/>
              <w:right w:type="dxa" w:w="110"/>
            </w:tcMar>
          </w:tcPr>
          <w:p>
            <w:r>
              <w:rPr>
                <w:sz w:val="18"/>
                <w:szCs w:val="18"/>
              </w:rPr>
              <w:t xml:space="preserve">stateclimatologist.isws.illinois.edu, weather.gov lot chicago_normals, eia.gov</w:t>
            </w:r>
          </w:p>
        </w:tc>
      </w:tr>
    </w:tbl>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17. Verification list</w:t>
      </w:r>
    </w:p>
    <w:p>
      <w:pPr>
        <w:pStyle w:val="ListParagraph"/>
        <w:numPr>
          <w:ilvl w:val="0"/>
          <w:numId w:val="2"/>
        </w:numPr>
        <w:spacing w:after="90"/>
      </w:pPr>
      <w:r>
        <w:rPr>
          <w:sz w:val="21"/>
          <w:szCs w:val="21"/>
        </w:rPr>
        <w:t xml:space="preserve">The shape and timing of the successor framework to the Data Center Investment Program being developed with the General Assembly, and whether the green building requirement survives into it.</w:t>
      </w:r>
    </w:p>
    <w:p>
      <w:pPr>
        <w:pStyle w:val="ListParagraph"/>
        <w:numPr>
          <w:ilvl w:val="0"/>
          <w:numId w:val="2"/>
        </w:numPr>
        <w:spacing w:after="90"/>
      </w:pPr>
      <w:r>
        <w:rPr>
          <w:sz w:val="21"/>
          <w:szCs w:val="21"/>
        </w:rPr>
        <w:t xml:space="preserve">Whether the wage test is 120 per cent of the county median or the county average, given the conflict between the DCEO web page and the 2025 annual report.</w:t>
      </w:r>
    </w:p>
    <w:p>
      <w:pPr>
        <w:pStyle w:val="ListParagraph"/>
        <w:numPr>
          <w:ilvl w:val="0"/>
          <w:numId w:val="2"/>
        </w:numPr>
        <w:spacing w:after="90"/>
      </w:pPr>
      <w:r>
        <w:rPr>
          <w:sz w:val="21"/>
          <w:szCs w:val="21"/>
        </w:rPr>
        <w:t xml:space="preserve">The Illinois Technical Reference Manual and approved plan treatment of heat recovery, liquid cooling and thermal storage as custom measures for 2026 to 2029.</w:t>
      </w:r>
    </w:p>
    <w:p>
      <w:pPr>
        <w:pStyle w:val="ListParagraph"/>
        <w:numPr>
          <w:ilvl w:val="0"/>
          <w:numId w:val="2"/>
        </w:numPr>
        <w:spacing w:after="90"/>
      </w:pPr>
      <w:r>
        <w:rPr>
          <w:sz w:val="21"/>
          <w:szCs w:val="21"/>
        </w:rPr>
        <w:t xml:space="preserve">The current ComEd custom incentive rate, given the conflict between 0.18 USD per kWh and 0.07 to 0.12 USD per first year kWh across vendor sources.</w:t>
      </w:r>
    </w:p>
    <w:p>
      <w:pPr>
        <w:pStyle w:val="ListParagraph"/>
        <w:numPr>
          <w:ilvl w:val="0"/>
          <w:numId w:val="2"/>
        </w:numPr>
        <w:spacing w:after="90"/>
      </w:pPr>
      <w:r>
        <w:rPr>
          <w:sz w:val="21"/>
          <w:szCs w:val="21"/>
        </w:rPr>
        <w:t xml:space="preserve">The docket number and scope of the large load cost allocation investigation opened by 23 April 2026, and its completion date.</w:t>
      </w:r>
    </w:p>
    <w:p>
      <w:pPr>
        <w:pStyle w:val="ListParagraph"/>
        <w:numPr>
          <w:ilvl w:val="0"/>
          <w:numId w:val="2"/>
        </w:numPr>
        <w:spacing w:after="90"/>
      </w:pPr>
      <w:r>
        <w:rPr>
          <w:sz w:val="21"/>
          <w:szCs w:val="21"/>
        </w:rPr>
        <w:t xml:space="preserve">Whether any Ameren Illinois large load tariff docket exists at the Illinois Commerce Commission.</w:t>
      </w:r>
    </w:p>
    <w:p>
      <w:pPr>
        <w:pStyle w:val="ListParagraph"/>
        <w:numPr>
          <w:ilvl w:val="0"/>
          <w:numId w:val="2"/>
        </w:numPr>
        <w:spacing w:after="90"/>
      </w:pPr>
      <w:r>
        <w:rPr>
          <w:sz w:val="21"/>
          <w:szCs w:val="21"/>
        </w:rPr>
        <w:t xml:space="preserve">Which counties and municipalities currently have live C-PACE programmes, given the conflict between four counties and 15 municipalities per the Illinois Finance Authority and seven counties per Honigman in May 2021.</w:t>
      </w:r>
    </w:p>
    <w:p>
      <w:pPr>
        <w:pStyle w:val="ListParagraph"/>
        <w:numPr>
          <w:ilvl w:val="0"/>
          <w:numId w:val="2"/>
        </w:numPr>
        <w:spacing w:after="90"/>
      </w:pPr>
      <w:r>
        <w:rPr>
          <w:sz w:val="21"/>
          <w:szCs w:val="21"/>
        </w:rPr>
        <w:t xml:space="preserve">Whether the Illinois Electricity Excise Tax is affected by any data center incentive.</w:t>
      </w:r>
    </w:p>
    <w:p>
      <w:pPr>
        <w:pStyle w:val="ListParagraph"/>
        <w:numPr>
          <w:ilvl w:val="0"/>
          <w:numId w:val="2"/>
        </w:numPr>
        <w:spacing w:after="90"/>
      </w:pPr>
      <w:r>
        <w:rPr>
          <w:sz w:val="21"/>
          <w:szCs w:val="21"/>
        </w:rPr>
        <w:t xml:space="preserve">Whether any Illinois thermal energy network incentive or pilot has been enacted since the February 2024 report.</w:t>
      </w:r>
    </w:p>
    <w:p>
      <w:pPr>
        <w:pStyle w:val="ListParagraph"/>
        <w:numPr>
          <w:ilvl w:val="0"/>
          <w:numId w:val="2"/>
        </w:numPr>
        <w:spacing w:after="90"/>
      </w:pPr>
      <w:r>
        <w:rPr>
          <w:sz w:val="21"/>
          <w:szCs w:val="21"/>
        </w:rPr>
        <w:t xml:space="preserve">The Local Food Infrastructure Grant award ceiling for the FY2026 round, given the conflict between 75,000 and 250,000 USD per Capitol News Illinois and 150,000 USD in the 2024 round.</w:t>
      </w:r>
    </w:p>
    <w:p>
      <w:pPr>
        <w:pStyle w:val="ListParagraph"/>
        <w:numPr>
          <w:ilvl w:val="0"/>
          <w:numId w:val="2"/>
        </w:numPr>
        <w:spacing w:after="90"/>
      </w:pPr>
      <w:r>
        <w:rPr>
          <w:sz w:val="21"/>
          <w:szCs w:val="21"/>
        </w:rPr>
        <w:t xml:space="preserve">Whether any dedicated Illinois indoor farming or greenhouse energy programme exists.</w:t>
      </w:r>
    </w:p>
    <w:p>
      <w:pPr>
        <w:pStyle w:val="ListParagraph"/>
        <w:numPr>
          <w:ilvl w:val="0"/>
          <w:numId w:val="2"/>
        </w:numPr>
        <w:spacing w:after="90"/>
      </w:pPr>
      <w:r>
        <w:rPr>
          <w:sz w:val="21"/>
          <w:szCs w:val="21"/>
        </w:rPr>
        <w:t xml:space="preserve">The Stickney design capacity, given three published figures across ENR, MWRD and US Water Alliance with TYLin.</w:t>
      </w:r>
    </w:p>
    <w:p>
      <w:pPr>
        <w:pBdr>
          <w:bottom w:val="single" w:color="CCCCCC" w:sz="6" w:space="1"/>
        </w:pBdr>
        <w:spacing w:after="200" w:before="120"/>
      </w:pPr>
      <w:r>
        <w:rPr>
          <w:sz w:val="2"/>
          <w:szCs w:val="2"/>
        </w:rPr>
        <w:t xml:space="preserve"/>
      </w:r>
    </w:p>
    <w:p>
      <w:pPr>
        <w:spacing w:after="140"/>
      </w:pPr>
      <w:r>
        <w:rPr>
          <w:i/>
          <w:iCs/>
          <w:sz w:val="21"/>
          <w:szCs w:val="21"/>
        </w:rPr>
        <w:t xml:space="preserve">End of note.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MicroLink Data Centers  |  Illinois  |  30 July 2026  |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6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2026-07-30T07:34:44.614Z</dcterms:created>
  <dcterms:modified xsi:type="dcterms:W3CDTF">2026-07-30T07:34:44.627Z</dcterms:modified>
</cp:coreProperties>
</file>

<file path=docProps/custom.xml><?xml version="1.0" encoding="utf-8"?>
<Properties xmlns="http://schemas.openxmlformats.org/officeDocument/2006/custom-properties" xmlns:vt="http://schemas.openxmlformats.org/officeDocument/2006/docPropsVTypes"/>
</file>