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F3A5F"/>
          <w:sz w:val="20"/>
          <w:szCs w:val="20"/>
        </w:rPr>
        <w:t xml:space="preserve">MICROLINK DATA CENTERS</w:t>
      </w:r>
    </w:p>
    <w:p>
      <w:pPr>
        <w:spacing w:after="40"/>
      </w:pPr>
      <w:r>
        <w:rPr>
          <w:rFonts w:ascii="Calibri" w:cs="Calibri" w:eastAsia="Calibri" w:hAnsi="Calibri"/>
          <w:b/>
          <w:bCs/>
          <w:color w:val="1A1A1A"/>
          <w:sz w:val="44"/>
          <w:szCs w:val="44"/>
        </w:rPr>
        <w:t xml:space="preserve">Pod Deployment Document Register</w:t>
      </w:r>
    </w:p>
    <w:p>
      <w:pPr>
        <w:pBdr>
          <w:bottom w:val="single" w:color="1F3A5F" w:sz="12" w:space="6"/>
        </w:pBdr>
        <w:spacing w:after="200"/>
      </w:pPr>
      <w:r>
        <w:rPr>
          <w:rFonts w:ascii="Calibri" w:cs="Calibri" w:eastAsia="Calibri" w:hAnsi="Calibri"/>
          <w:color w:val="444444"/>
          <w:sz w:val="20"/>
          <w:szCs w:val="20"/>
        </w:rPr>
        <w:t xml:space="preserve">Vertiv MegaMod HDX Compact, 13 racks, 1.25 MW, two 45 ft high cube ISO containers, industrial host partner deployment</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3060"/>
        <w:gridCol w:w="1000"/>
        <w:gridCol w:w="1320"/>
        <w:gridCol w:w="1360"/>
        <w:gridCol w:w="2340"/>
        <w:gridCol w:w="3780"/>
      </w:tblGrid>
      <w:tr>
        <w:trPr>
          <w:tblHeader/>
        </w:trPr>
        <w:tc>
          <w:tcPr>
            <w:tcW w:type="dxa" w:w="8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w:t>
            </w:r>
          </w:p>
        </w:tc>
        <w:tc>
          <w:tcPr>
            <w:tcW w:type="dxa" w:w="30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Title</w:t>
            </w:r>
          </w:p>
        </w:tc>
        <w:tc>
          <w:tcPr>
            <w:tcW w:type="dxa" w:w="1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Type</w:t>
            </w:r>
          </w:p>
        </w:tc>
        <w:tc>
          <w:tcPr>
            <w:tcW w:type="dxa" w:w="13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Status</w:t>
            </w:r>
          </w:p>
        </w:tc>
        <w:tc>
          <w:tcPr>
            <w:tcW w:type="dxa" w:w="13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234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37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Notes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00.01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Pod Deployment Document Register</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Register</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Nick Searra</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This document. Rev B, 30 July 2026. Controls all four streams.</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1  Purpose and standing</w:t>
      </w:r>
    </w:p>
    <w:p>
      <w:pPr>
        <w:spacing w:after="110" w:before="0" w:line="220"/>
      </w:pPr>
      <w:r>
        <w:rPr>
          <w:rFonts w:ascii="Calibri" w:cs="Calibri" w:eastAsia="Calibri" w:hAnsi="Calibri"/>
          <w:b w:val="false"/>
          <w:bCs w:val="false"/>
          <w:i w:val="false"/>
          <w:iCs w:val="false"/>
          <w:color w:val="1A1A1A"/>
          <w:sz w:val="18"/>
          <w:szCs w:val="18"/>
        </w:rPr>
        <w:t xml:space="preserve">This register is the opening section of the pod deployment folder and the single index for every drawing, document, agreement and model the programme produces. It sits above the four streams: Design, Hosts, Customers, Funding. Nothing enters the folder without a reference in this register, and no deliverable issues to an external party until its preconditions in section 8 are closed.</w:t>
      </w:r>
    </w:p>
    <w:p>
      <w:pPr>
        <w:spacing w:after="110" w:before="0" w:line="220"/>
      </w:pPr>
      <w:r>
        <w:rPr>
          <w:rFonts w:ascii="Calibri" w:cs="Calibri" w:eastAsia="Calibri" w:hAnsi="Calibri"/>
          <w:b w:val="false"/>
          <w:bCs w:val="false"/>
          <w:i w:val="false"/>
          <w:iCs w:val="false"/>
          <w:color w:val="1A1A1A"/>
          <w:sz w:val="18"/>
          <w:szCs w:val="18"/>
        </w:rPr>
        <w:t xml:space="preserve">The register records what exists, what is in progress, what has not been started, and what is blocked and by which named parameter. It does not carry design content. Frozen and open parameters live in D-03, the Design Basis Register, and every figure quoted in any deliverable resolves back to the canonical figures workbook.</w:t>
      </w:r>
    </w:p>
    <w:p>
      <w:pPr>
        <w:spacing w:after="110" w:before="0" w:line="220"/>
      </w:pPr>
      <w:r>
        <w:rPr>
          <w:rFonts w:ascii="Calibri" w:cs="Calibri" w:eastAsia="Calibri" w:hAnsi="Calibri"/>
          <w:b w:val="false"/>
          <w:bCs w:val="false"/>
          <w:i w:val="false"/>
          <w:iCs w:val="false"/>
          <w:color w:val="1A1A1A"/>
          <w:sz w:val="18"/>
          <w:szCs w:val="18"/>
        </w:rPr>
        <w:t xml:space="preserve">The platform basis is the Vertiv MegaMod HDX Compact. Vertiv publishes the Compact as a standard height module carrying a maximum of thirteen racks at a power capacity up to 1.25 MW, at rack densities from 50 kW to above 100 kW. That published envelope is where the thirteen rack positions and the 1.25 MW basis come from, and it is the configuration every deliverable in this register is written against. The Combo configuration, extended height to 144 racks and 10 MW, is the next scale step and is out of scope here. MicroLink supplies the ISO container envelope and takes Vertiv power and cooling plant as components within it, so the Vertiv rating is the design envelope rather than a purchased enclosure.</w:t>
      </w:r>
    </w:p>
    <w:p>
      <w:pPr>
        <w:spacing w:after="110" w:before="0" w:line="220"/>
      </w:pPr>
      <w:r>
        <w:rPr>
          <w:rFonts w:ascii="Calibri" w:cs="Calibri" w:eastAsia="Calibri" w:hAnsi="Calibri"/>
          <w:b w:val="false"/>
          <w:bCs w:val="false"/>
          <w:i w:val="false"/>
          <w:iCs w:val="false"/>
          <w:color w:val="1A1A1A"/>
          <w:sz w:val="18"/>
          <w:szCs w:val="18"/>
        </w:rPr>
        <w:t xml:space="preserve">Scale basis is 1.25 MW IT per pod. Where an existing artefact was built at campus scale, that is stated in its notes and the pod scale version is listed as a separate deliverable rather than a revision.</w:t>
      </w:r>
    </w:p>
    <w:p>
      <w:pPr>
        <w:pStyle w:val="Heading1"/>
        <w:pBdr>
          <w:bottom w:val="single" w:color="1F3A5F" w:sz="8" w:space="4"/>
        </w:pBdr>
        <w:spacing w:after="140" w:before="320"/>
      </w:pPr>
      <w:r>
        <w:rPr>
          <w:rFonts w:ascii="Calibri" w:cs="Calibri" w:eastAsia="Calibri" w:hAnsi="Calibri"/>
          <w:b/>
          <w:bCs/>
          <w:color w:val="1F3A5F"/>
          <w:sz w:val="26"/>
          <w:szCs w:val="26"/>
        </w:rPr>
        <w:t xml:space="preserve">2  Folder structure</w:t>
      </w:r>
    </w:p>
    <w:p>
      <w:pPr>
        <w:spacing w:after="110" w:before="0" w:line="220"/>
      </w:pPr>
      <w:r>
        <w:rPr>
          <w:rFonts w:ascii="Calibri" w:cs="Calibri" w:eastAsia="Calibri" w:hAnsi="Calibri"/>
          <w:b w:val="false"/>
          <w:bCs w:val="false"/>
          <w:i w:val="false"/>
          <w:iCs w:val="false"/>
          <w:color w:val="1A1A1A"/>
          <w:sz w:val="18"/>
          <w:szCs w:val="18"/>
        </w:rPr>
        <w:t xml:space="preserve">Six folders. The register and the cross stream control artefacts sit in 00. Each stream folder carries its own reference series so a file name identifies its home without opening it.</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3400"/>
        <w:gridCol w:w="1500"/>
        <w:gridCol w:w="7280"/>
      </w:tblGrid>
      <w:tr>
        <w:trPr>
          <w:tblHeader/>
        </w:trPr>
        <w:tc>
          <w:tcPr>
            <w:tcW w:type="dxa" w:w="15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Folder</w:t>
            </w:r>
          </w:p>
        </w:tc>
        <w:tc>
          <w:tcPr>
            <w:tcW w:type="dxa" w:w="34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Stream</w:t>
            </w:r>
          </w:p>
        </w:tc>
        <w:tc>
          <w:tcPr>
            <w:tcW w:type="dxa" w:w="15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Reference series</w:t>
            </w:r>
          </w:p>
        </w:tc>
        <w:tc>
          <w:tcPr>
            <w:tcW w:type="dxa" w:w="72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Contents</w:t>
            </w:r>
          </w:p>
        </w:tc>
      </w:tr>
      <w:tr>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00</w:t>
            </w:r>
          </w:p>
        </w:tc>
        <w:tc>
          <w:tcPr>
            <w:tcW w:type="dxa" w:w="34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Control</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Series 00</w:t>
            </w:r>
          </w:p>
        </w:tc>
        <w:tc>
          <w:tcPr>
            <w:tcW w:type="dxa" w:w="72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This register, the master schedule, the figure registers and the research index. Read before anything else.</w:t>
            </w:r>
          </w:p>
        </w:tc>
      </w:tr>
      <w:tr>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01</w:t>
            </w:r>
          </w:p>
        </w:tc>
        <w:tc>
          <w:tcPr>
            <w:tcW w:type="dxa" w:w="34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Design</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Series S and D</w:t>
            </w:r>
          </w:p>
        </w:tc>
        <w:tc>
          <w:tcPr>
            <w:tcW w:type="dxa" w:w="72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Drawings and design documents. Internal set plus the two outward facing packages.</w:t>
            </w:r>
          </w:p>
        </w:tc>
      </w:tr>
      <w:tr>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02</w:t>
            </w:r>
          </w:p>
        </w:tc>
        <w:tc>
          <w:tcPr>
            <w:tcW w:type="dxa" w:w="34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Hosts</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Series H</w:t>
            </w:r>
          </w:p>
        </w:tc>
        <w:tc>
          <w:tcPr>
            <w:tcW w:type="dxa" w:w="72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Presentation, qualification, survey, and the contractual chain from NDA through to thermal supply.</w:t>
            </w:r>
          </w:p>
        </w:tc>
      </w:tr>
      <w:tr>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03</w:t>
            </w:r>
          </w:p>
        </w:tc>
        <w:tc>
          <w:tcPr>
            <w:tcW w:type="dxa" w:w="34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Customers</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Series C</w:t>
            </w:r>
          </w:p>
        </w:tc>
        <w:tc>
          <w:tcPr>
            <w:tcW w:type="dxa" w:w="72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Presentation, opportunity one pagers, technical offer, services agreement and pricing.</w:t>
            </w:r>
          </w:p>
        </w:tc>
      </w:tr>
      <w:tr>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04</w:t>
            </w:r>
          </w:p>
        </w:tc>
        <w:tc>
          <w:tcPr>
            <w:tcW w:type="dxa" w:w="34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Funding</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Series F</w:t>
            </w:r>
          </w:p>
        </w:tc>
        <w:tc>
          <w:tcPr>
            <w:tcW w:type="dxa" w:w="72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Investor presentation, financial model, memo, lender package and the pod scale data room.</w:t>
            </w:r>
          </w:p>
        </w:tc>
      </w:tr>
      <w:tr>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05</w:t>
            </w:r>
          </w:p>
        </w:tc>
        <w:tc>
          <w:tcPr>
            <w:tcW w:type="dxa" w:w="34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Cross stream</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Series X</w:t>
            </w:r>
          </w:p>
        </w:tc>
        <w:tc>
          <w:tcPr>
            <w:tcW w:type="dxa" w:w="72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Artefacts every stream is asked for. Currently the risk register alone.</w:t>
            </w:r>
          </w:p>
        </w:tc>
      </w:tr>
    </w:tbl>
    <w:p>
      <w:pPr>
        <w:spacing w:after="110" w:before="120" w:line="220"/>
      </w:pPr>
      <w:r>
        <w:rPr>
          <w:rFonts w:ascii="Calibri" w:cs="Calibri" w:eastAsia="Calibri" w:hAnsi="Calibri"/>
          <w:b w:val="false"/>
          <w:bCs w:val="false"/>
          <w:i w:val="false"/>
          <w:iCs w:val="false"/>
          <w:color w:val="1A1A1A"/>
          <w:sz w:val="18"/>
          <w:szCs w:val="18"/>
        </w:rPr>
        <w:t xml:space="preserve">File naming is reference, then title in title case, then revision. Example: D-15_Host_Interface_Specification_RevA.docx. A deliverable never changes reference once issued. Superseded revisions move to an archive subfolder within the same stream folder.</w:t>
      </w:r>
    </w:p>
    <w:p>
      <w:pPr>
        <w:pStyle w:val="Heading1"/>
        <w:pBdr>
          <w:bottom w:val="single" w:color="1F3A5F" w:sz="8" w:space="4"/>
        </w:pBdr>
        <w:spacing w:after="140" w:before="320"/>
      </w:pPr>
      <w:r>
        <w:rPr>
          <w:rFonts w:ascii="Calibri" w:cs="Calibri" w:eastAsia="Calibri" w:hAnsi="Calibri"/>
          <w:b/>
          <w:bCs/>
          <w:color w:val="1F3A5F"/>
          <w:sz w:val="26"/>
          <w:szCs w:val="26"/>
        </w:rPr>
        <w:t xml:space="preserve">3  Status and ownership vocabulary</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200"/>
        <w:gridCol w:w="11480"/>
      </w:tblGrid>
      <w:tr>
        <w:trPr>
          <w:tblHeader/>
        </w:trPr>
        <w:tc>
          <w:tcPr>
            <w:tcW w:type="dxa" w:w="22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Term</w:t>
            </w:r>
          </w:p>
        </w:tc>
        <w:tc>
          <w:tcPr>
            <w:tcW w:type="dxa" w:w="114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Meaning</w:t>
            </w:r>
          </w:p>
        </w:tc>
      </w:tr>
      <w:tr>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ISSUED</w:t>
            </w:r>
          </w:p>
        </w:tc>
        <w:tc>
          <w:tcPr>
            <w:tcW w:type="dxa" w:w="114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 revision exists and has been released. The revision letter is in the notes column.</w:t>
            </w:r>
          </w:p>
        </w:tc>
      </w:tr>
      <w:tr>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IN PROGRESS</w:t>
            </w:r>
          </w:p>
        </w:tc>
        <w:tc>
          <w:tcPr>
            <w:tcW w:type="dxa" w:w="114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Drafting has started. A first instance may exist without a reusable template behind it.</w:t>
            </w:r>
          </w:p>
        </w:tc>
      </w:tr>
      <w:tr>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TO PRODUCE</w:t>
            </w:r>
          </w:p>
        </w:tc>
        <w:tc>
          <w:tcPr>
            <w:tcW w:type="dxa" w:w="114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Not started. Nothing external blocks it beyond a decision that is yours to make.</w:t>
            </w:r>
          </w:p>
        </w:tc>
      </w:tr>
      <w:tr>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BLOCKED</w:t>
            </w:r>
          </w:p>
        </w:tc>
        <w:tc>
          <w:tcPr>
            <w:tcW w:type="dxa" w:w="114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Cannot be produced or cannot issue until a named precondition in section 8 closes.</w:t>
            </w:r>
          </w:p>
        </w:tc>
      </w:tr>
      <w:tr>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114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Produced in house. Owner is Nick Searra unless a discipline lead is named later.</w:t>
            </w:r>
          </w:p>
        </w:tc>
      </w:tr>
      <w:tr>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114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Waiting on Vertiv confirmation. Tracked as P04, P05, P06 and P11 in D-03.</w:t>
            </w:r>
          </w:p>
        </w:tc>
      </w:tr>
      <w:tr>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Platform OEM</w:t>
            </w:r>
          </w:p>
        </w:tc>
        <w:tc>
          <w:tcPr>
            <w:tcW w:type="dxa" w:w="114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Waiting on the rack or compute platform vendor. P12 and P17 in D-03.</w:t>
            </w:r>
          </w:p>
        </w:tc>
      </w:tr>
      <w:tr>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Host partner</w:t>
            </w:r>
          </w:p>
        </w:tc>
        <w:tc>
          <w:tcPr>
            <w:tcW w:type="dxa" w:w="114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Waiting on a named host. P13, P14 and P23 in D-03. Cannot be resolved by desk work.</w:t>
            </w:r>
          </w:p>
        </w:tc>
      </w:tr>
      <w:tr>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Counsel</w:t>
            </w:r>
          </w:p>
        </w:tc>
        <w:tc>
          <w:tcPr>
            <w:tcW w:type="dxa" w:w="114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Requires legal drafting or review before issue. Applies to the contractual chain in 02 and 03.</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4  Position summary</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000"/>
        <w:gridCol w:w="1700"/>
        <w:gridCol w:w="1700"/>
        <w:gridCol w:w="1700"/>
        <w:gridCol w:w="5580"/>
      </w:tblGrid>
      <w:tr>
        <w:trPr>
          <w:tblHeader/>
        </w:trPr>
        <w:tc>
          <w:tcPr>
            <w:tcW w:type="dxa" w:w="3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Stream</w:t>
            </w:r>
          </w:p>
        </w:tc>
        <w:tc>
          <w:tcPr>
            <w:tcW w:type="dxa" w:w="17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Total</w:t>
            </w:r>
          </w:p>
        </w:tc>
        <w:tc>
          <w:tcPr>
            <w:tcW w:type="dxa" w:w="17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Issued</w:t>
            </w:r>
          </w:p>
        </w:tc>
        <w:tc>
          <w:tcPr>
            <w:tcW w:type="dxa" w:w="17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Outstanding</w:t>
            </w:r>
          </w:p>
        </w:tc>
        <w:tc>
          <w:tcPr>
            <w:tcW w:type="dxa" w:w="55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Comment</w:t>
            </w:r>
          </w:p>
        </w:tc>
      </w:tr>
      <w:tr>
        <w:tc>
          <w:tcPr>
            <w:tcW w:type="dxa" w:w="3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00 Control</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7</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7</w:t>
            </w:r>
          </w:p>
        </w:tc>
        <w:tc>
          <w:tcPr>
            <w:tcW w:type="dxa" w:w="17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0</w:t>
            </w:r>
          </w:p>
        </w:tc>
        <w:tc>
          <w:tcPr>
            <w:tcW w:type="dxa" w:w="55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Complete. Includes the Vertiv brief and the OneCore vendor set.</w:t>
            </w:r>
          </w:p>
        </w:tc>
      </w:tr>
      <w:tr>
        <w:tc>
          <w:tcPr>
            <w:tcW w:type="dxa" w:w="3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01 Design</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33</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5</w:t>
            </w:r>
          </w:p>
        </w:tc>
        <w:tc>
          <w:tcPr>
            <w:tcW w:type="dxa" w:w="17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28</w:t>
            </w:r>
          </w:p>
        </w:tc>
        <w:tc>
          <w:tcPr>
            <w:tcW w:type="dxa" w:w="55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Deepest stream. Two drawings and three documents issued out of thirty three.</w:t>
            </w:r>
          </w:p>
        </w:tc>
      </w:tr>
      <w:tr>
        <w:tc>
          <w:tcPr>
            <w:tcW w:type="dxa" w:w="3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02 Hosts</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9</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w:t>
            </w:r>
          </w:p>
        </w:tc>
        <w:tc>
          <w:tcPr>
            <w:tcW w:type="dxa" w:w="17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9</w:t>
            </w:r>
          </w:p>
        </w:tc>
        <w:tc>
          <w:tcPr>
            <w:tcW w:type="dxa" w:w="55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Thinnest stream. Nothing issued. The contractual chain has no template at pod scale.</w:t>
            </w:r>
          </w:p>
        </w:tc>
      </w:tr>
      <w:tr>
        <w:tc>
          <w:tcPr>
            <w:tcW w:type="dxa" w:w="3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03 Customers</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6</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w:t>
            </w:r>
          </w:p>
        </w:tc>
        <w:tc>
          <w:tcPr>
            <w:tcW w:type="dxa" w:w="17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6</w:t>
            </w:r>
          </w:p>
        </w:tc>
        <w:tc>
          <w:tcPr>
            <w:tcW w:type="dxa" w:w="55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One instance exists, the Gigawatt Anthropic one pager, with no template behind it.</w:t>
            </w:r>
          </w:p>
        </w:tc>
      </w:tr>
      <w:tr>
        <w:tc>
          <w:tcPr>
            <w:tcW w:type="dxa" w:w="3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04 Funding</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7</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1</w:t>
            </w:r>
          </w:p>
        </w:tc>
        <w:tc>
          <w:tcPr>
            <w:tcW w:type="dxa" w:w="17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6</w:t>
            </w:r>
          </w:p>
        </w:tc>
        <w:tc>
          <w:tcPr>
            <w:tcW w:type="dxa" w:w="55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 financial model is issued. Its twelve open items are what a funder opens first.</w:t>
            </w:r>
          </w:p>
        </w:tc>
      </w:tr>
      <w:tr>
        <w:tc>
          <w:tcPr>
            <w:tcW w:type="dxa" w:w="3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05 Cross stream</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1</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w:t>
            </w:r>
          </w:p>
        </w:tc>
        <w:tc>
          <w:tcPr>
            <w:tcW w:type="dxa" w:w="17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1</w:t>
            </w:r>
          </w:p>
        </w:tc>
        <w:tc>
          <w:tcPr>
            <w:tcW w:type="dxa" w:w="55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 risk register exists nowhere and all four streams will be asked for it.</w:t>
            </w:r>
          </w:p>
        </w:tc>
      </w:tr>
      <w:tr>
        <w:tc>
          <w:tcPr>
            <w:tcW w:type="dxa" w:w="3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Total</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63</w:t>
            </w:r>
          </w:p>
        </w:tc>
        <w:tc>
          <w:tcPr>
            <w:tcW w:type="dxa" w:w="1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13</w:t>
            </w:r>
          </w:p>
        </w:tc>
        <w:tc>
          <w:tcPr>
            <w:tcW w:type="dxa" w:w="17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50</w:t>
            </w:r>
          </w:p>
        </w:tc>
        <w:tc>
          <w:tcPr>
            <w:tcW w:type="dxa" w:w="55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Thirteen of sixty three deliverables exist in an issued revision.</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5  Section 00, control</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3060"/>
        <w:gridCol w:w="1000"/>
        <w:gridCol w:w="1320"/>
        <w:gridCol w:w="1360"/>
        <w:gridCol w:w="2340"/>
        <w:gridCol w:w="3780"/>
      </w:tblGrid>
      <w:tr>
        <w:trPr>
          <w:tblHeader/>
        </w:trPr>
        <w:tc>
          <w:tcPr>
            <w:tcW w:type="dxa" w:w="8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w:t>
            </w:r>
          </w:p>
        </w:tc>
        <w:tc>
          <w:tcPr>
            <w:tcW w:type="dxa" w:w="30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Title</w:t>
            </w:r>
          </w:p>
        </w:tc>
        <w:tc>
          <w:tcPr>
            <w:tcW w:type="dxa" w:w="1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Type</w:t>
            </w:r>
          </w:p>
        </w:tc>
        <w:tc>
          <w:tcPr>
            <w:tcW w:type="dxa" w:w="13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Status</w:t>
            </w:r>
          </w:p>
        </w:tc>
        <w:tc>
          <w:tcPr>
            <w:tcW w:type="dxa" w:w="13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234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37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Notes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00.01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Pod Deployment Document Register</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Register</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This document. Rev B.</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00.02</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Master Schedule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Workbook</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Rev B. 356 rows across dimensional, equipment, connections, thermal, electrical, structural, interfaces and gaps.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00.03</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Master Figures Register</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Workbook</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Every figure that appears on a drawing, traced to source.</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00.04</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Canonical Figures</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Workbook</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Forty one sheets including Locked Canon, Pod and Shell Interface, Building Code and Fire, Suppliers and Equipment. The figure authority for all four streams.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00.05</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Research Index, combined</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Workbook</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Master index of the research corpus with the cross project duplicate list.</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00.06</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 Brief, The Pod on Vertiv MegaMod HDX</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Brief</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 brief issued to Vertiv. Carries the 1.25 MW basis and the eleven open questions.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00.07</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 OneCore RACI and BOM Rev 1</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Vendor set</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Received 27 July 2026 from Kelsey Wernke with the ConsensusDocs 253 Prefabricator Agreement and credit application. The RACI is the scope split and the BOM is the cost base for stack 1. Not yet read into the master schedule.</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6  Stream 01, Design</w:t>
      </w:r>
    </w:p>
    <w:p>
      <w:pPr>
        <w:spacing w:after="110" w:before="0" w:line="220"/>
      </w:pPr>
      <w:r>
        <w:rPr>
          <w:rFonts w:ascii="Calibri" w:cs="Calibri" w:eastAsia="Calibri" w:hAnsi="Calibri"/>
          <w:b w:val="false"/>
          <w:bCs w:val="false"/>
          <w:i w:val="false"/>
          <w:iCs w:val="false"/>
          <w:color w:val="1A1A1A"/>
          <w:sz w:val="18"/>
          <w:szCs w:val="18"/>
        </w:rPr>
        <w:t xml:space="preserve">The internal set is thirteen drawings and fourteen documents, pruned from the 20 MW set and held in D-03. Every sheet and every document in this stream is drawn against the Vertiv MegaMod HDX Compact envelope of thirteen racks at 1.25 MW. Six deliverables are added here: the two outward facing packages, the commissioning and handover set, and the compliance file. The dry cooler rejection path appears in S-302, S-303, D-15 and D-20 and is never presented as optional in any of them.</w:t>
      </w:r>
    </w:p>
    <w:p>
      <w:pPr>
        <w:pStyle w:val="Heading2"/>
        <w:spacing w:after="90" w:before="220"/>
      </w:pPr>
      <w:r>
        <w:rPr>
          <w:rFonts w:ascii="Calibri" w:cs="Calibri" w:eastAsia="Calibri" w:hAnsi="Calibri"/>
          <w:b/>
          <w:bCs/>
          <w:color w:val="1F3A5F"/>
          <w:sz w:val="20"/>
          <w:szCs w:val="20"/>
        </w:rPr>
        <w:t xml:space="preserve">6.1  Drawings, series S</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3060"/>
        <w:gridCol w:w="1000"/>
        <w:gridCol w:w="1320"/>
        <w:gridCol w:w="1360"/>
        <w:gridCol w:w="2340"/>
        <w:gridCol w:w="3780"/>
      </w:tblGrid>
      <w:tr>
        <w:trPr>
          <w:tblHeader/>
        </w:trPr>
        <w:tc>
          <w:tcPr>
            <w:tcW w:type="dxa" w:w="8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w:t>
            </w:r>
          </w:p>
        </w:tc>
        <w:tc>
          <w:tcPr>
            <w:tcW w:type="dxa" w:w="30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Title</w:t>
            </w:r>
          </w:p>
        </w:tc>
        <w:tc>
          <w:tcPr>
            <w:tcW w:type="dxa" w:w="1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Type</w:t>
            </w:r>
          </w:p>
        </w:tc>
        <w:tc>
          <w:tcPr>
            <w:tcW w:type="dxa" w:w="13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Status</w:t>
            </w:r>
          </w:p>
        </w:tc>
        <w:tc>
          <w:tcPr>
            <w:tcW w:type="dxa" w:w="13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234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37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Notes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S-001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Site plan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Host partner</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G7 host demand, G9 tie in route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Cannot be drawn without a named host. Reference host is Richland County, Ohio.</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S-101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General arrangement, plan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 LV board, G3 plate pull</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Rev H issued. Rev J cannot proceed until G1 and G3 close.</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S-102</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General arrangement, profile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 LV board</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Rev A issued.</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S-103</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Rack elevation and rack detail</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Platform OEM</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G6 IT platform</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GB300 NVL72 class assumed, not fixed.</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S-201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Electrical single line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 LV board</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 2N posture is the single open decision holding this sheet.</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S-202</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Busway and rack power distribution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 LV board, G6 IT platform</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S-203</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Earthing and bonding single line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 LV board</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S-301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Cooling piping and instrumentation diagram</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 P and ID. Facility loop corrected at Rev C of D-03 to FWS 32 °C and FWR 42 °C.</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S-302</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Dry cooler field and heat rejection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Full rejection duty 1.29 MW thermal at 1.25 MW IT. Sized to the site, not to one pod.</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S-303</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Heat recovery and host interface schematic</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Host partner</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G7 host demand</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 graphical partner to D-15. Handover exchanger is the boundary.</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S-401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Fire detection and suppression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Ohio basis. Feeds D-09 and D-20.</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S-501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Network topology</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Platform OEM</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G6 IT platform</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S-502</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Controls architecture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Drawing</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Safety layer separated from the supervisory layer. Feeds D-04 through D-08.</w:t>
            </w:r>
          </w:p>
        </w:tc>
      </w:tr>
    </w:tbl>
    <w:p>
      <w:pPr>
        <w:pStyle w:val="Heading2"/>
        <w:spacing w:after="90" w:before="220"/>
      </w:pPr>
      <w:r>
        <w:rPr>
          <w:rFonts w:ascii="Calibri" w:cs="Calibri" w:eastAsia="Calibri" w:hAnsi="Calibri"/>
          <w:b/>
          <w:bCs/>
          <w:color w:val="1F3A5F"/>
          <w:sz w:val="20"/>
          <w:szCs w:val="20"/>
        </w:rPr>
        <w:t xml:space="preserve">6.2  Documents, internal set</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3060"/>
        <w:gridCol w:w="1000"/>
        <w:gridCol w:w="1320"/>
        <w:gridCol w:w="1360"/>
        <w:gridCol w:w="2340"/>
        <w:gridCol w:w="3780"/>
      </w:tblGrid>
      <w:tr>
        <w:trPr>
          <w:tblHeader/>
        </w:trPr>
        <w:tc>
          <w:tcPr>
            <w:tcW w:type="dxa" w:w="8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w:t>
            </w:r>
          </w:p>
        </w:tc>
        <w:tc>
          <w:tcPr>
            <w:tcW w:type="dxa" w:w="30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Title</w:t>
            </w:r>
          </w:p>
        </w:tc>
        <w:tc>
          <w:tcPr>
            <w:tcW w:type="dxa" w:w="1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Type</w:t>
            </w:r>
          </w:p>
        </w:tc>
        <w:tc>
          <w:tcPr>
            <w:tcW w:type="dxa" w:w="13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Status</w:t>
            </w:r>
          </w:p>
        </w:tc>
        <w:tc>
          <w:tcPr>
            <w:tcW w:type="dxa" w:w="13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234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37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Notes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Basis of Design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Document</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Rev B. Superseded the 2 MW Rev A. Consumes twenty three of the twenty three tracked parameters.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D-02</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Reference Host Specification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Document</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Municipal wastewater works, mesophilic anaerobic digestion, Richland County, Ohio. A worked example, not the interface specification.</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D-03</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Design Basis Register</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Workbook</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Rev C. Freeze register, dependency matrix, deliverable register and build sequence. Source of truth for what is safe to draw.</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D-04</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Control points and IO schedule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Schedule</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D-05</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Sequence of operation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Document</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Carries the booster logic. Native delivery is 55 °C, booster reaches 70 °C where a host needs it.</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D-06</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Cause and effect matrix</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Matrix</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D-07</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Alarm philosophy and schedule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Document</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D-08</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KPI and metering definition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Document</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 G7 host demand</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Defines PUE and ERE together. Sets the measurement basis H-09 bills against.</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D-09</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Fire and life safety design basis</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Document</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NFPA 75 and the Ohio fire code. Feeds D-20.</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D-10</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Fault calculation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Calculation</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 LV board</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4,000 A frame, Icw 65 kA for 1 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Load schedule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Schedule</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Platform OEM</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G6 IT platform</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D-12</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Feeder schedule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Schedule</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 LV board</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D-13</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Equipment schedule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Schedule</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Extracted into D-16 as the RFQ schedule. Produce once, use twice.</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D-14</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Valve and instrument list</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Schedule</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
            </w:r>
          </w:p>
        </w:tc>
      </w:tr>
    </w:tbl>
    <w:p>
      <w:pPr>
        <w:pStyle w:val="Heading2"/>
        <w:spacing w:after="90" w:before="220"/>
      </w:pPr>
      <w:r>
        <w:rPr>
          <w:rFonts w:ascii="Calibri" w:cs="Calibri" w:eastAsia="Calibri" w:hAnsi="Calibri"/>
          <w:b/>
          <w:bCs/>
          <w:color w:val="1F3A5F"/>
          <w:sz w:val="20"/>
          <w:szCs w:val="20"/>
        </w:rPr>
        <w:t xml:space="preserve">6.3  Documents, outward facing and handover</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3060"/>
        <w:gridCol w:w="1000"/>
        <w:gridCol w:w="1320"/>
        <w:gridCol w:w="1360"/>
        <w:gridCol w:w="2340"/>
        <w:gridCol w:w="3780"/>
      </w:tblGrid>
      <w:tr>
        <w:trPr>
          <w:tblHeader/>
        </w:trPr>
        <w:tc>
          <w:tcPr>
            <w:tcW w:type="dxa" w:w="8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w:t>
            </w:r>
          </w:p>
        </w:tc>
        <w:tc>
          <w:tcPr>
            <w:tcW w:type="dxa" w:w="30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Title</w:t>
            </w:r>
          </w:p>
        </w:tc>
        <w:tc>
          <w:tcPr>
            <w:tcW w:type="dxa" w:w="1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Type</w:t>
            </w:r>
          </w:p>
        </w:tc>
        <w:tc>
          <w:tcPr>
            <w:tcW w:type="dxa" w:w="13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Status</w:t>
            </w:r>
          </w:p>
        </w:tc>
        <w:tc>
          <w:tcPr>
            <w:tcW w:type="dxa" w:w="13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234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37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Notes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D-15</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Host Interface Specification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Specification</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G3 plate pull, G7 host demand</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What the host provides and what MicroLink brings, with the handover exchanger as the boundary. Flow, temperature, water class, space, structural loading, power tie in. Dry cooler path shown as always present. Not a revision of D-02.</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D-16</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Supplier Package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RFQ</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 LV board, G2 shipping weight, G4 Vertiv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Scope of supply, equipment schedule, datasheet requirements, factory acceptance test criteria, delivery and packing. Written against the MegaMod HDX Compact scope split, with the OneCore RACI at 00.07 as the boundary between Vertiv supply and MicroLink supply. Cannot issue until the shipping weight and LV board conflicts close.</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D-17</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Commissioning and Test Plan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Plan</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Adopts IQ, OQ and PQ vocabulary from regulated process validation rather than data centre commissioning language, which reads better to industrial hosts.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D-18</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Operations and Maintenance Manual</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Manual</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D-17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Built from the commissioning record, not written ahead of it.</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D-19</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Spares List</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Schedule</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Derives from D-13. Holding levels set per deployment distance.</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D-20</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Code and Fire Compliance File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File</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NFPA 75, IBC egress, ASCE 7-16 structural loading. Ohio basis: Building 2024, Fire 2025, NEC 2023.</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7  Stream 02, Hosts</w:t>
      </w:r>
    </w:p>
    <w:p>
      <w:pPr>
        <w:spacing w:after="110" w:before="0" w:line="220"/>
      </w:pPr>
      <w:r>
        <w:rPr>
          <w:rFonts w:ascii="Calibri" w:cs="Calibri" w:eastAsia="Calibri" w:hAnsi="Calibri"/>
          <w:b w:val="false"/>
          <w:bCs w:val="false"/>
          <w:i w:val="false"/>
          <w:iCs w:val="false"/>
          <w:color w:val="1A1A1A"/>
          <w:sz w:val="18"/>
          <w:szCs w:val="18"/>
        </w:rPr>
        <w:t xml:space="preserve">The thinnest stream and the one that gates the design. Nothing is issued. Hosts are partners throughout every document in this series, never customers, and no document in this stream carries revenue share language. The data room lease is the starting template for H-06 but it is campus scale and cannot be handed to a brewery or a municipal works as it stands.</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3060"/>
        <w:gridCol w:w="1000"/>
        <w:gridCol w:w="1320"/>
        <w:gridCol w:w="1360"/>
        <w:gridCol w:w="2340"/>
        <w:gridCol w:w="3780"/>
      </w:tblGrid>
      <w:tr>
        <w:trPr>
          <w:tblHeader/>
        </w:trPr>
        <w:tc>
          <w:tcPr>
            <w:tcW w:type="dxa" w:w="8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w:t>
            </w:r>
          </w:p>
        </w:tc>
        <w:tc>
          <w:tcPr>
            <w:tcW w:type="dxa" w:w="30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Title</w:t>
            </w:r>
          </w:p>
        </w:tc>
        <w:tc>
          <w:tcPr>
            <w:tcW w:type="dxa" w:w="1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Type</w:t>
            </w:r>
          </w:p>
        </w:tc>
        <w:tc>
          <w:tcPr>
            <w:tcW w:type="dxa" w:w="13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Status</w:t>
            </w:r>
          </w:p>
        </w:tc>
        <w:tc>
          <w:tcPr>
            <w:tcW w:type="dxa" w:w="13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234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37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Notes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Host Presentation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Presentation</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D-15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Does not exist and no template exists. Leads with the thermal proposition and the fact that IT cooling is protected regardless of partner state.</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H-02</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Site Survey Checklist and Data Request List</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Checklist</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Produce before the next site visit so every visit returns a comparable record. Cheapest item in the stream and it unblocks H-03.</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H-03</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Site Qualification Report</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Report</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H-02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Template exists in the host assessment skill. Output is per site, so the register carries the template and each site carries an instance.</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H-04</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Mutual Non Disclosure Agreement</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Agreement</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Counsel</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 template exists. First document a host signs, so it is the first legal spend.</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H-05</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Heads of Terms, host agreement</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Agreement</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Counsel</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H-04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 template exists. Sets the shape of H-06, H-07 and H-08 before any of them are drafted.</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H-06</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Licence to Occupy or Lease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Agreement</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Counsel</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H-05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Data room lease is the starting template. It is campus scale and needs reducing to a two container footprint on a host site.</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H-07</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Thermal Supply Agreement</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Agreement</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Counsel</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G7 host demand</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Firm demand is assumed at 1.10 MW thermal against a sector band of 0.5 to 3 MW. The agreement cannot be drafted against an assumption.</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H-08</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Behind the Meter Power Arrangement</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Agreement</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Host partner</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G9 tie in route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Single point 480 VAC three phase interface. Depends on the host utility position.</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H-09</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Thermal Metering and Billing Protocol</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Protocol</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D-08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On EN 1434. Defines the measurement, the settlement period and the dispute route. Reads across to H-07.</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8  Stream 03, Customers</w:t>
      </w:r>
    </w:p>
    <w:p>
      <w:pPr>
        <w:spacing w:after="110" w:before="0" w:line="220"/>
      </w:pPr>
      <w:r>
        <w:rPr>
          <w:rFonts w:ascii="Calibri" w:cs="Calibri" w:eastAsia="Calibri" w:hAnsi="Calibri"/>
          <w:b w:val="false"/>
          <w:bCs w:val="false"/>
          <w:i w:val="false"/>
          <w:iCs w:val="false"/>
          <w:color w:val="1A1A1A"/>
          <w:sz w:val="18"/>
          <w:szCs w:val="18"/>
        </w:rPr>
        <w:t xml:space="preserve">Partly built. One instance exists with no template behind it. The technical offer is where PUE and ERE are quoted together, and it is the only document in this stream that a design change can invalidate.</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3060"/>
        <w:gridCol w:w="1000"/>
        <w:gridCol w:w="1320"/>
        <w:gridCol w:w="1360"/>
        <w:gridCol w:w="2340"/>
        <w:gridCol w:w="3780"/>
      </w:tblGrid>
      <w:tr>
        <w:trPr>
          <w:tblHeader/>
        </w:trPr>
        <w:tc>
          <w:tcPr>
            <w:tcW w:type="dxa" w:w="8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w:t>
            </w:r>
          </w:p>
        </w:tc>
        <w:tc>
          <w:tcPr>
            <w:tcW w:type="dxa" w:w="30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Title</w:t>
            </w:r>
          </w:p>
        </w:tc>
        <w:tc>
          <w:tcPr>
            <w:tcW w:type="dxa" w:w="1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Type</w:t>
            </w:r>
          </w:p>
        </w:tc>
        <w:tc>
          <w:tcPr>
            <w:tcW w:type="dxa" w:w="13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Status</w:t>
            </w:r>
          </w:p>
        </w:tc>
        <w:tc>
          <w:tcPr>
            <w:tcW w:type="dxa" w:w="13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234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37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Notes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Customer Presentation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Presentation</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C-03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Does not exist and no template exists. Distinct from H-01: different buyer, different proposition, same asset.</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C-02</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Opportunity One Pager</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Template</w:t>
            </w:r>
          </w:p>
        </w:tc>
        <w:tc>
          <w:tcPr>
            <w:tcW w:type="dxa" w:w="1320"/>
            <w:tcBorders>
              <w:top w:val="single" w:color="B8C0CC" w:sz="4"/>
              <w:left w:val="single" w:color="B8C0CC" w:sz="4"/>
              <w:bottom w:val="single" w:color="B8C0CC" w:sz="4"/>
              <w:right w:val="single" w:color="B8C0CC" w:sz="4"/>
            </w:tcBorders>
            <w:shd w:fill="E3ECF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IN PROGRESS</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 Gigawatt Anthropic one pager is the first instance. Reduce it to a template so the second and third do not restart.</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C-03</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Technical Offer</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Offer</w:t>
            </w:r>
          </w:p>
        </w:tc>
        <w:tc>
          <w:tcPr>
            <w:tcW w:type="dxa" w:w="1320"/>
            <w:tcBorders>
              <w:top w:val="single" w:color="B8C0CC" w:sz="4"/>
              <w:left w:val="single" w:color="B8C0CC" w:sz="4"/>
              <w:bottom w:val="single" w:color="B8C0CC" w:sz="4"/>
              <w:right w:val="single" w:color="B8C0CC" w:sz="4"/>
            </w:tcBorders>
            <w:shd w:fill="FBE0E0"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BLOCKED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 Vertiv items, G6 IT platform</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Rack density, uptime posture, PUE with ERE, SLA terms. Numbers resolve to 00.04, not to the deck.</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C-04</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Services Agreement</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Agreement</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Counsel</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C-03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 template exists.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C-05</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Service Level Agreement schedule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Schedule</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Counsel</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C-04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 template exists. Attaches to C-04 rather than standing alone.</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C-06</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Pricing Sheet</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Workbook</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F-02 open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Sits behind C-04. Cannot be set while build cost per MW is open in F-02.</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9  Stream 04, Funding</w:t>
      </w:r>
    </w:p>
    <w:p>
      <w:pPr>
        <w:spacing w:after="110" w:before="0" w:line="220"/>
      </w:pPr>
      <w:r>
        <w:rPr>
          <w:rFonts w:ascii="Calibri" w:cs="Calibri" w:eastAsia="Calibri" w:hAnsi="Calibri"/>
          <w:b w:val="false"/>
          <w:bCs w:val="false"/>
          <w:i w:val="false"/>
          <w:iCs w:val="false"/>
          <w:color w:val="1A1A1A"/>
          <w:sz w:val="18"/>
          <w:szCs w:val="18"/>
        </w:rPr>
        <w:t xml:space="preserve">The model exists and is the strongest artefact in the programme outside the design set. Its twelve open items are the first thing a funder will open, led by build cost per MW, host partner payment, pod scale operating cost and construction period. The data room exists at campus scale and needs a pod scale index rather than a revision.</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3060"/>
        <w:gridCol w:w="1000"/>
        <w:gridCol w:w="1320"/>
        <w:gridCol w:w="1360"/>
        <w:gridCol w:w="2340"/>
        <w:gridCol w:w="3780"/>
      </w:tblGrid>
      <w:tr>
        <w:trPr>
          <w:tblHeader/>
        </w:trPr>
        <w:tc>
          <w:tcPr>
            <w:tcW w:type="dxa" w:w="8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w:t>
            </w:r>
          </w:p>
        </w:tc>
        <w:tc>
          <w:tcPr>
            <w:tcW w:type="dxa" w:w="30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Title</w:t>
            </w:r>
          </w:p>
        </w:tc>
        <w:tc>
          <w:tcPr>
            <w:tcW w:type="dxa" w:w="1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Type</w:t>
            </w:r>
          </w:p>
        </w:tc>
        <w:tc>
          <w:tcPr>
            <w:tcW w:type="dxa" w:w="13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Status</w:t>
            </w:r>
          </w:p>
        </w:tc>
        <w:tc>
          <w:tcPr>
            <w:tcW w:type="dxa" w:w="13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234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37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Notes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Investor Presentation</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Presentation</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F-03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Does not exist and no template exists. Third of the three absent presentations.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F-02</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Financial Model</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Workbook</w:t>
            </w:r>
          </w:p>
        </w:tc>
        <w:tc>
          <w:tcPr>
            <w:tcW w:type="dxa" w:w="1320"/>
            <w:tcBorders>
              <w:top w:val="single" w:color="B8C0CC" w:sz="4"/>
              <w:left w:val="single" w:color="B8C0CC" w:sz="4"/>
              <w:bottom w:val="single" w:color="B8C0CC" w:sz="4"/>
              <w:right w:val="single" w:color="B8C0CC" w:sz="4"/>
            </w:tcBorders>
            <w:shd w:fill="E4EFDC"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ISSUED</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Four pods across wastewater, district heat, farm and brewery. Eight sheets. Whole dollars throughout. Twelve open items listed in order of how much each moves the answer.</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F-03</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Investment Memo</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Document</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X-01 first</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 template exists. Reads the risk register rather than restating it.</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F-04</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Use of Proceeds</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Schedule</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F-02 open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Ties to the capital cost stack. Moves with build cost per MW.</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F-05</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Capitalisation Table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Workbook</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Not blocked by anything technical.</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F-06</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Lender Package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Package</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F-02 open items</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DSCR and debt schedule. The campus data room debt schedule and sources and uses sheets are the template.</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F-07</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Data Room Index, pod scale</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Index</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This register</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What exists is campus scale. The pod room is populated from this register, so the index is a view of it, not a second list.</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10  Stream 05, Cross stream</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3060"/>
        <w:gridCol w:w="1000"/>
        <w:gridCol w:w="1320"/>
        <w:gridCol w:w="1360"/>
        <w:gridCol w:w="2340"/>
        <w:gridCol w:w="3780"/>
      </w:tblGrid>
      <w:tr>
        <w:trPr>
          <w:tblHeader/>
        </w:trPr>
        <w:tc>
          <w:tcPr>
            <w:tcW w:type="dxa" w:w="8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w:t>
            </w:r>
          </w:p>
        </w:tc>
        <w:tc>
          <w:tcPr>
            <w:tcW w:type="dxa" w:w="30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Title</w:t>
            </w:r>
          </w:p>
        </w:tc>
        <w:tc>
          <w:tcPr>
            <w:tcW w:type="dxa" w:w="1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Type</w:t>
            </w:r>
          </w:p>
        </w:tc>
        <w:tc>
          <w:tcPr>
            <w:tcW w:type="dxa" w:w="132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Status</w:t>
            </w:r>
          </w:p>
        </w:tc>
        <w:tc>
          <w:tcPr>
            <w:tcW w:type="dxa" w:w="136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234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37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Notes</w:t>
            </w:r>
          </w:p>
        </w:tc>
      </w:tr>
      <w:tr>
        <w:tc>
          <w:tcPr>
            <w:tcW w:type="dxa" w:w="82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X-01</w:t>
            </w:r>
          </w:p>
        </w:tc>
        <w:tc>
          <w:tcPr>
            <w:tcW w:type="dxa" w:w="30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Risk Register</w:t>
            </w:r>
          </w:p>
        </w:tc>
        <w:tc>
          <w:tcPr>
            <w:tcW w:type="dxa" w:w="1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Register</w:t>
            </w:r>
          </w:p>
        </w:tc>
        <w:tc>
          <w:tcPr>
            <w:tcW w:type="dxa" w:w="132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TO PRODUCE</w:t>
            </w:r>
          </w:p>
        </w:tc>
        <w:tc>
          <w:tcPr>
            <w:tcW w:type="dxa" w:w="136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234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None</w:t>
            </w:r>
          </w:p>
        </w:tc>
        <w:tc>
          <w:tcPr>
            <w:tcW w:type="dxa" w:w="3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Exists nowhere. All four streams will be asked for it: hosts on operational and thermal risk, customers on uptime, funders on completion and counterparty, suppliers on scope. One register, four views. Nothing blocks it and it is the highest leverage absent document in the programme.</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11  Preconditions</w:t>
      </w:r>
    </w:p>
    <w:p>
      <w:pPr>
        <w:spacing w:after="110" w:before="0" w:line="220"/>
      </w:pPr>
      <w:r>
        <w:rPr>
          <w:rFonts w:ascii="Calibri" w:cs="Calibri" w:eastAsia="Calibri" w:hAnsi="Calibri"/>
          <w:b w:val="false"/>
          <w:bCs w:val="false"/>
          <w:i w:val="false"/>
          <w:iCs w:val="false"/>
          <w:color w:val="1A1A1A"/>
          <w:sz w:val="18"/>
          <w:szCs w:val="18"/>
        </w:rPr>
        <w:t xml:space="preserve">Ten preconditions. Every BLOCKED entry above names one of these. A precondition closes when the parameter behind it moves to LOCKED in D-03. The first two are the pair holding the supplier package, and therefore the pair holding the programme.</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700"/>
        <w:gridCol w:w="3200"/>
        <w:gridCol w:w="1500"/>
        <w:gridCol w:w="1500"/>
        <w:gridCol w:w="6780"/>
      </w:tblGrid>
      <w:tr>
        <w:trPr>
          <w:tblHeader/>
        </w:trPr>
        <w:tc>
          <w:tcPr>
            <w:tcW w:type="dxa" w:w="7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Ref</w:t>
            </w:r>
          </w:p>
        </w:tc>
        <w:tc>
          <w:tcPr>
            <w:tcW w:type="dxa" w:w="32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15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15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Parameters</w:t>
            </w:r>
          </w:p>
        </w:tc>
        <w:tc>
          <w:tcPr>
            <w:tcW w:type="dxa" w:w="67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Position</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w:t>
            </w:r>
          </w:p>
        </w:tc>
        <w:tc>
          <w:tcPr>
            <w:tcW w:type="dxa" w:w="3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LV board geometry against the 2N posture</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15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P09, P10</w:t>
            </w:r>
          </w:p>
        </w:tc>
        <w:tc>
          <w:tcPr>
            <w:tcW w:type="dxa" w:w="6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 single 4,000 A Form 4b lineup measures 5.670 m (18.6 ft) and fits the 6.596 m (21.6 ft) electrical half with 0.926 m (3.0 ft) spare. Two independent lineups need 11.340 m (37.2 ft), over by 4.744 m (15.6 ft). Not geometrically buildable in one container half. The single open decision holding S-101, S-201 and D-16.</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G2</w:t>
            </w:r>
          </w:p>
        </w:tc>
        <w:tc>
          <w:tcPr>
            <w:tcW w:type="dxa" w:w="3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Shipping weight margin, Container 1</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Platform OEM</w:t>
            </w:r>
          </w:p>
        </w:tc>
        <w:tc>
          <w:tcPr>
            <w:tcW w:type="dxa" w:w="15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P12</w:t>
            </w:r>
          </w:p>
        </w:tc>
        <w:tc>
          <w:tcPr>
            <w:tcW w:type="dxa" w:w="6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At the corrected populated rack mass of 1,814 kg (4,000 lb), Container 1 grosses 27,356 kg (60,309 lb) if the three support racks are lighter than the compute racks. If all thirteen positions carry 1,814 kg the gross is 30,098 kg (66,354 lb) against the 30,480 kg (67,200 lb) ISO limit, a margin of 382 kg (842 lb). Too thin to issue an RFQ against.</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G3</w:t>
            </w:r>
          </w:p>
        </w:tc>
        <w:tc>
          <w:tcPr>
            <w:tcW w:type="dxa" w:w="3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Plate exchanger pull clearance</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15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P05, P06</w:t>
            </w:r>
          </w:p>
        </w:tc>
        <w:tc>
          <w:tcPr>
            <w:tcW w:type="dxa" w:w="6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 gasketed plate exchanger at 55 m² (592 ft²) needs a 3.5 m (11.5 ft) pull envelope. Neither pulling west nor east is available in the current wet half layout without reordering equipment.</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G4</w:t>
            </w:r>
          </w:p>
        </w:tc>
        <w:tc>
          <w:tcPr>
            <w:tcW w:type="dxa" w:w="3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 items</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Vertiv</w:t>
            </w:r>
          </w:p>
        </w:tc>
        <w:tc>
          <w:tcPr>
            <w:tcW w:type="dxa" w:w="15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P04, P05, P06, P11</w:t>
            </w:r>
          </w:p>
        </w:tc>
        <w:tc>
          <w:tcPr>
            <w:tcW w:type="dxa" w:w="6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Liquid capture at the cold plates 0.85, facility loop FWS 32 °C and FWR 42 °C at a 10 K rise, CDU selection and count, UPS posture. Research indicates one Liebert XDU1350 at N+1 rather than two CoolChip CDU2300, taking installed capacity from 4,600 kW to 2,736 kW against an 1,100 kW duty. Awaiting Vertiv confirmation against the OneCore RACI and BOM at 00.07, on the MegaMod HDX Compact configuration.</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G5</w:t>
            </w:r>
          </w:p>
        </w:tc>
        <w:tc>
          <w:tcPr>
            <w:tcW w:type="dxa" w:w="3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Rack and platform mass resolution</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Platform OEM</w:t>
            </w:r>
          </w:p>
        </w:tc>
        <w:tc>
          <w:tcPr>
            <w:tcW w:type="dxa" w:w="15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P12</w:t>
            </w:r>
          </w:p>
        </w:tc>
        <w:tc>
          <w:tcPr>
            <w:tcW w:type="dxa" w:w="6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Published 1.36 t against 3.0 t carried in earlier revisions, resolved to 1,814 kg pending OEM confirmation. Closing this closes G2.</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G6</w:t>
            </w:r>
          </w:p>
        </w:tc>
        <w:tc>
          <w:tcPr>
            <w:tcW w:type="dxa" w:w="3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IT platform confirmation</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15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P17, P18</w:t>
            </w:r>
          </w:p>
        </w:tc>
        <w:tc>
          <w:tcPr>
            <w:tcW w:type="dxa" w:w="6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GB300 NVL72 class assumed and not yet fixed. Network and storage rack power carried at a 40 kW placeholder.</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G7</w:t>
            </w:r>
          </w:p>
        </w:tc>
        <w:tc>
          <w:tcPr>
            <w:tcW w:type="dxa" w:w="3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Host thermal demand, firm</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Host partner</w:t>
            </w:r>
          </w:p>
        </w:tc>
        <w:tc>
          <w:tcPr>
            <w:tcW w:type="dxa" w:w="15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P13, P14</w:t>
            </w:r>
          </w:p>
        </w:tc>
        <w:tc>
          <w:tcPr>
            <w:tcW w:type="dxa" w:w="6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Carried at 1.10 MW thermal against a sector band of 0.5 to 3 MW. Delivered grade at the reference host is 38 °C direct with no booster fitted. Needs a named host with metered demand.</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G8</w:t>
            </w:r>
          </w:p>
        </w:tc>
        <w:tc>
          <w:tcPr>
            <w:tcW w:type="dxa" w:w="3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Financial model open items</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15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F-02</w:t>
            </w:r>
          </w:p>
        </w:tc>
        <w:tc>
          <w:tcPr>
            <w:tcW w:type="dxa" w:w="6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Twelve unresolved inputs, ordered by sensitivity. Build cost per MW, host partner payment, pod scale operating cost and construction period are the four that move the answer most.</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G9</w:t>
            </w:r>
          </w:p>
        </w:tc>
        <w:tc>
          <w:tcPr>
            <w:tcW w:type="dxa" w:w="3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Tie in distance and route</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Host partner</w:t>
            </w:r>
          </w:p>
        </w:tc>
        <w:tc>
          <w:tcPr>
            <w:tcW w:type="dxa" w:w="15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P23</w:t>
            </w:r>
          </w:p>
        </w:tc>
        <w:tc>
          <w:tcPr>
            <w:tcW w:type="dxa" w:w="6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Assumed under 200 m (656 ft) buried soft dig. Site specific and cannot be desk resolved.</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G10</w:t>
            </w:r>
          </w:p>
        </w:tc>
        <w:tc>
          <w:tcPr>
            <w:tcW w:type="dxa" w:w="3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IT load against the Compact rating</w:t>
            </w:r>
          </w:p>
        </w:tc>
        <w:tc>
          <w:tcPr>
            <w:tcW w:type="dxa" w:w="15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MicroLink</w:t>
            </w:r>
          </w:p>
        </w:tc>
        <w:tc>
          <w:tcPr>
            <w:tcW w:type="dxa" w:w="150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P03, P18</w:t>
            </w:r>
          </w:p>
        </w:tc>
        <w:tc>
          <w:tcPr>
            <w:tcW w:type="dxa" w:w="678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Ten compute racks at 125 kW is 1,250 kW, which is the full published rating of the Compact. The 40 kW network and storage placeholder sits on top of it, giving 1,290 kW of IT across the same thirteen positions, which is where the 1.29 MW thermal rejection duty comes from. Either the compute count carries the support load within 1,250 kW, or the support load sits outside the counted envelope, or the configuration is not Compact.</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12  Production sequence</w:t>
      </w:r>
    </w:p>
    <w:p>
      <w:pPr>
        <w:spacing w:after="110" w:before="0" w:line="220"/>
      </w:pPr>
      <w:r>
        <w:rPr>
          <w:rFonts w:ascii="Calibri" w:cs="Calibri" w:eastAsia="Calibri" w:hAnsi="Calibri"/>
          <w:b w:val="false"/>
          <w:bCs w:val="false"/>
          <w:i w:val="false"/>
          <w:iCs w:val="false"/>
          <w:color w:val="1A1A1A"/>
          <w:sz w:val="18"/>
          <w:szCs w:val="18"/>
        </w:rPr>
        <w:t xml:space="preserve">One document at a time, in dependency order, to minimise rework. Rework does not come from detail, it comes from shared upstream parameters with high fan out. The sequence below is ordered by what unblocks the most downstream work per unit of effort, not by stream.</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700"/>
        <w:gridCol w:w="3600"/>
        <w:gridCol w:w="2200"/>
        <w:gridCol w:w="7180"/>
      </w:tblGrid>
      <w:tr>
        <w:trPr>
          <w:tblHeader/>
        </w:trPr>
        <w:tc>
          <w:tcPr>
            <w:tcW w:type="dxa" w:w="7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Order</w:t>
            </w:r>
          </w:p>
        </w:tc>
        <w:tc>
          <w:tcPr>
            <w:tcW w:type="dxa" w:w="36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Deliverable</w:t>
            </w:r>
          </w:p>
        </w:tc>
        <w:tc>
          <w:tcPr>
            <w:tcW w:type="dxa" w:w="22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Precondition</w:t>
            </w:r>
          </w:p>
        </w:tc>
        <w:tc>
          <w:tcPr>
            <w:tcW w:type="dxa" w:w="71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Reason it sits here</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1</w:t>
            </w:r>
          </w:p>
        </w:tc>
        <w:tc>
          <w:tcPr>
            <w:tcW w:type="dxa" w:w="36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X-01 Risk Register</w:t>
            </w:r>
          </w:p>
        </w:tc>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Nothing blocks it</w:t>
            </w:r>
          </w:p>
        </w:tc>
        <w:tc>
          <w:tcPr>
            <w:tcW w:type="dxa" w:w="71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Asked for by all four streams. No precondition. Feeds F-03 directly.</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2</w:t>
            </w:r>
          </w:p>
        </w:tc>
        <w:tc>
          <w:tcPr>
            <w:tcW w:type="dxa" w:w="36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H-02 Site Survey Checklist and Data Request List</w:t>
            </w:r>
          </w:p>
        </w:tc>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Nothing blocks it</w:t>
            </w:r>
          </w:p>
        </w:tc>
        <w:tc>
          <w:tcPr>
            <w:tcW w:type="dxa" w:w="71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Turns every future site visit into a comparable record and unblocks H-03. Cheapest unblock in the programme.</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3</w:t>
            </w:r>
          </w:p>
        </w:tc>
        <w:tc>
          <w:tcPr>
            <w:tcW w:type="dxa" w:w="36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 decision, LV board and 2N posture</w:t>
            </w:r>
          </w:p>
        </w:tc>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Yours to make</w:t>
            </w:r>
          </w:p>
        </w:tc>
        <w:tc>
          <w:tcPr>
            <w:tcW w:type="dxa" w:w="71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Releases S-101 Rev J, S-201, S-202, S-203, D-10, D-12 and half of D-16.</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4</w:t>
            </w:r>
          </w:p>
        </w:tc>
        <w:tc>
          <w:tcPr>
            <w:tcW w:type="dxa" w:w="36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D-15 Host Interface Specification</w:t>
            </w:r>
          </w:p>
        </w:tc>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G3 and G7</w:t>
            </w:r>
          </w:p>
        </w:tc>
        <w:tc>
          <w:tcPr>
            <w:tcW w:type="dxa" w:w="71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The document hosts actually need. Parent of H-01 and S-303.</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5</w:t>
            </w:r>
          </w:p>
        </w:tc>
        <w:tc>
          <w:tcPr>
            <w:tcW w:type="dxa" w:w="36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D-16 Supplier Package</w:t>
            </w:r>
          </w:p>
        </w:tc>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G1, G2 and G4</w:t>
            </w:r>
          </w:p>
        </w:tc>
        <w:tc>
          <w:tcPr>
            <w:tcW w:type="dxa" w:w="71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The RFQ. Holding the whole procurement path.</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6</w:t>
            </w:r>
          </w:p>
        </w:tc>
        <w:tc>
          <w:tcPr>
            <w:tcW w:type="dxa" w:w="36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C-02 Opportunity One Pager template</w:t>
            </w:r>
          </w:p>
        </w:tc>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Nothing blocks it</w:t>
            </w:r>
          </w:p>
        </w:tc>
        <w:tc>
          <w:tcPr>
            <w:tcW w:type="dxa" w:w="71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Reduce the Gigawatt Anthropic instance to a reusable template before the second opportunity lands.</w:t>
            </w:r>
          </w:p>
        </w:tc>
      </w:tr>
      <w:tr>
        <w:tc>
          <w:tcPr>
            <w:tcW w:type="dxa" w:w="7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7</w:t>
            </w:r>
          </w:p>
        </w:tc>
        <w:tc>
          <w:tcPr>
            <w:tcW w:type="dxa" w:w="36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 three presentations, H-01, C-01, F-01</w:t>
            </w:r>
          </w:p>
        </w:tc>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Their parent documents</w:t>
            </w:r>
          </w:p>
        </w:tc>
        <w:tc>
          <w:tcPr>
            <w:tcW w:type="dxa" w:w="71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Built last on purpose. A deck assembled before its source document is rework by construction.</w:t>
            </w:r>
          </w:p>
        </w:tc>
      </w:tr>
    </w:tbl>
    <w:p>
      <w:pPr>
        <w:pStyle w:val="Heading1"/>
        <w:pBdr>
          <w:bottom w:val="single" w:color="1F3A5F" w:sz="8" w:space="4"/>
        </w:pBdr>
        <w:spacing w:after="140" w:before="320"/>
      </w:pPr>
      <w:r>
        <w:rPr>
          <w:rFonts w:ascii="Calibri" w:cs="Calibri" w:eastAsia="Calibri" w:hAnsi="Calibri"/>
          <w:b/>
          <w:bCs/>
          <w:color w:val="1F3A5F"/>
          <w:sz w:val="26"/>
          <w:szCs w:val="26"/>
        </w:rPr>
        <w:t xml:space="preserve">13  Revision history</w:t>
      </w:r>
    </w:p>
    <w:tbl>
      <w:tblPr>
        <w:tblW w:type="dxa" w:w="136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2000"/>
        <w:gridCol w:w="2200"/>
        <w:gridCol w:w="8080"/>
      </w:tblGrid>
      <w:tr>
        <w:trPr>
          <w:tblHeader/>
        </w:trPr>
        <w:tc>
          <w:tcPr>
            <w:tcW w:type="dxa" w:w="14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Rev</w:t>
            </w:r>
          </w:p>
        </w:tc>
        <w:tc>
          <w:tcPr>
            <w:tcW w:type="dxa" w:w="20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Date</w:t>
            </w:r>
          </w:p>
        </w:tc>
        <w:tc>
          <w:tcPr>
            <w:tcW w:type="dxa" w:w="220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Owner</w:t>
            </w:r>
          </w:p>
        </w:tc>
        <w:tc>
          <w:tcPr>
            <w:tcW w:type="dxa" w:w="8080"/>
            <w:tcBorders>
              <w:top w:val="single" w:color="B8C0CC" w:sz="4"/>
              <w:left w:val="single" w:color="B8C0CC" w:sz="4"/>
              <w:bottom w:val="single" w:color="B8C0CC" w:sz="4"/>
              <w:right w:val="single" w:color="B8C0CC" w:sz="4"/>
            </w:tcBorders>
            <w:shd w:fill="1F3A5F"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FFFFFF"/>
                <w:sz w:val="16"/>
                <w:szCs w:val="16"/>
              </w:rPr>
              <w:t xml:space="preserve">Change</w:t>
            </w:r>
          </w:p>
        </w:tc>
      </w:tr>
      <w:tr>
        <w:tc>
          <w:tcPr>
            <w:tcW w:type="dxa" w:w="14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A</w:t>
            </w:r>
          </w:p>
        </w:tc>
        <w:tc>
          <w:tcPr>
            <w:tcW w:type="dxa" w:w="2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30 July 2026</w:t>
            </w:r>
          </w:p>
        </w:tc>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Nick Searra</w:t>
            </w:r>
          </w:p>
        </w:tc>
        <w:tc>
          <w:tcPr>
            <w:tcW w:type="dxa" w:w="80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First issue. Sixty one deliverables across six folders. Position: eleven issued, fifty outstanding, nine preconditions open.</w:t>
            </w:r>
          </w:p>
        </w:tc>
      </w:tr>
      <w:tr>
        <w:tc>
          <w:tcPr>
            <w:tcW w:type="dxa" w:w="14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B</w:t>
            </w:r>
          </w:p>
        </w:tc>
        <w:tc>
          <w:tcPr>
            <w:tcW w:type="dxa" w:w="20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30 July 2026</w:t>
            </w:r>
          </w:p>
        </w:tc>
        <w:tc>
          <w:tcPr>
            <w:tcW w:type="dxa" w:w="2200"/>
            <w:tcBorders>
              <w:top w:val="single" w:color="B8C0CC" w:sz="4"/>
              <w:left w:val="single" w:color="B8C0CC" w:sz="4"/>
              <w:bottom w:val="single" w:color="B8C0CC" w:sz="4"/>
              <w:right w:val="single" w:color="B8C0CC" w:sz="4"/>
            </w:tcBorders>
            <w:tcMar>
              <w:top w:type="dxa" w:w="60"/>
              <w:left w:type="dxa" w:w="90"/>
              <w:bottom w:type="dxa" w:w="60"/>
              <w:right w:type="dxa" w:w="90"/>
            </w:tcMar>
          </w:tcPr>
          <w:p>
            <w:pPr>
              <w:spacing w:after="0" w:before="0" w:line="220"/>
            </w:pPr>
            <w:r>
              <w:rPr>
                <w:rFonts w:ascii="Calibri" w:cs="Calibri" w:eastAsia="Calibri" w:hAnsi="Calibri"/>
                <w:b w:val="false"/>
                <w:bCs w:val="false"/>
                <w:i w:val="false"/>
                <w:iCs w:val="false"/>
                <w:color w:val="1A1A1A"/>
                <w:sz w:val="16"/>
                <w:szCs w:val="16"/>
              </w:rPr>
              <w:t xml:space="preserve">Nick Searra</w:t>
            </w:r>
          </w:p>
        </w:tc>
        <w:tc>
          <w:tcPr>
            <w:tcW w:type="dxa" w:w="8080"/>
            <w:tcBorders>
              <w:top w:val="single" w:color="B8C0CC" w:sz="4"/>
              <w:left w:val="single" w:color="B8C0CC" w:sz="4"/>
              <w:bottom w:val="single" w:color="B8C0CC" w:sz="4"/>
              <w:right w:val="single" w:color="B8C0CC" w:sz="4"/>
            </w:tcBorders>
            <w:shd w:fill="FFF3D6" w:color="auto" w:val="clear"/>
            <w:tcMar>
              <w:top w:type="dxa" w:w="60"/>
              <w:left w:type="dxa" w:w="90"/>
              <w:bottom w:type="dxa" w:w="60"/>
              <w:right w:type="dxa" w:w="90"/>
            </w:tcMar>
          </w:tcPr>
          <w:p>
            <w:pPr>
              <w:spacing w:after="0" w:before="0" w:line="220"/>
            </w:pPr>
            <w:r>
              <w:rPr>
                <w:rFonts w:ascii="Calibri" w:cs="Calibri" w:eastAsia="Calibri" w:hAnsi="Calibri"/>
                <w:b/>
                <w:bCs/>
                <w:i w:val="false"/>
                <w:iCs w:val="false"/>
                <w:color w:val="1A1A1A"/>
                <w:sz w:val="16"/>
                <w:szCs w:val="16"/>
              </w:rPr>
              <w:t xml:space="preserve">Platform basis stated as the Vertiv MegaMod HDX Compact throughout, thirteen racks at 1.25 MW, from the published Vertiv configuration. Added 00.06 the MicroLink brief and 00.07 the Vertiv OneCore RACI and BOM. Added G10 on IT load against the Compact rating. Sixty three deliverables, thirteen issued, ten preconditions open.</w:t>
            </w:r>
          </w:p>
        </w:tc>
      </w:tr>
    </w:tbl>
    <w:sectPr>
      <w:headerReference w:type="default" r:id="rId7"/>
      <w:footerReference w:type="default" r:id="rId8"/>
      <w:pgSz w:w="15840" w:h="12240" w:orient="landscape"/>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666666"/>
        <w:sz w:val="14"/>
        <w:szCs w:val="14"/>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C0CC" w:sz="4" w:space="3"/>
      </w:pBdr>
      <w:spacing w:after="60"/>
    </w:pPr>
    <w:r>
      <w:rPr>
        <w:rFonts w:ascii="Calibri" w:cs="Calibri" w:eastAsia="Calibri" w:hAnsi="Calibri"/>
        <w:color w:val="666666"/>
        <w:sz w:val="14"/>
        <w:szCs w:val="14"/>
      </w:rPr>
      <w:t xml:space="preserve">MicroLink Data Centers   |   Pod Deployment Document Register   |   Rev B, 30 July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 Deployment Document Register</dc:title>
  <dc:creator>MicroLink Data Centers</dc:creator>
  <dc:description>Rev B, 30 July 2026</dc:description>
  <cp:lastModifiedBy>Un-named</cp:lastModifiedBy>
  <cp:revision>1</cp:revision>
  <dcterms:created xsi:type="dcterms:W3CDTF">2026-07-30T06:20:18.545Z</dcterms:created>
  <dcterms:modified xsi:type="dcterms:W3CDTF">2026-07-30T06:20:18.571Z</dcterms:modified>
</cp:coreProperties>
</file>

<file path=docProps/custom.xml><?xml version="1.0" encoding="utf-8"?>
<Properties xmlns="http://schemas.openxmlformats.org/officeDocument/2006/custom-properties" xmlns:vt="http://schemas.openxmlformats.org/officeDocument/2006/docPropsVTypes"/>
</file>